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B4426">
      <w:pPr>
        <w:jc w:val="center"/>
        <w:rPr>
          <w:rFonts w:ascii="方正小标宋简体" w:hAnsi="方正小标宋简体" w:eastAsia="方正小标宋简体" w:cs="宋体"/>
          <w:color w:val="auto"/>
          <w:sz w:val="44"/>
          <w:szCs w:val="44"/>
          <w:u w:val="single"/>
        </w:rPr>
      </w:pPr>
      <w:bookmarkStart w:id="0" w:name="_Toc20384570"/>
    </w:p>
    <w:p w14:paraId="43395853">
      <w:pPr>
        <w:jc w:val="center"/>
        <w:rPr>
          <w:rFonts w:ascii="方正小标宋简体" w:hAnsi="方正小标宋简体" w:eastAsia="方正小标宋简体" w:cs="宋体"/>
          <w:color w:val="auto"/>
          <w:sz w:val="44"/>
          <w:szCs w:val="44"/>
          <w:u w:val="single"/>
        </w:rPr>
      </w:pPr>
    </w:p>
    <w:p w14:paraId="2788D0D6">
      <w:pPr>
        <w:jc w:val="center"/>
        <w:rPr>
          <w:rFonts w:ascii="方正小标宋简体" w:hAnsi="方正小标宋简体" w:eastAsia="方正小标宋简体" w:cs="宋体"/>
          <w:color w:val="auto"/>
          <w:sz w:val="44"/>
          <w:szCs w:val="44"/>
          <w:u w:val="single"/>
        </w:rPr>
      </w:pPr>
    </w:p>
    <w:p w14:paraId="61E183DC">
      <w:pPr>
        <w:jc w:val="center"/>
        <w:rPr>
          <w:rFonts w:ascii="方正小标宋简体" w:hAnsi="方正小标宋简体" w:eastAsia="方正小标宋简体" w:cs="宋体"/>
          <w:color w:val="auto"/>
          <w:sz w:val="44"/>
          <w:szCs w:val="44"/>
          <w:u w:val="single"/>
        </w:rPr>
      </w:pPr>
    </w:p>
    <w:p w14:paraId="65A1D62D">
      <w:pPr>
        <w:jc w:val="center"/>
        <w:rPr>
          <w:rFonts w:ascii="方正小标宋简体" w:hAnsi="方正小标宋简体" w:eastAsia="方正小标宋简体" w:cs="宋体"/>
          <w:color w:val="auto"/>
          <w:sz w:val="44"/>
          <w:szCs w:val="44"/>
          <w:u w:val="single"/>
        </w:rPr>
      </w:pPr>
    </w:p>
    <w:p w14:paraId="74EEE4BA">
      <w:pPr>
        <w:jc w:val="center"/>
        <w:rPr>
          <w:rFonts w:hint="eastAsia" w:ascii="方正小标宋简体" w:hAnsi="方正小标宋简体" w:eastAsia="方正小标宋简体" w:cs="宋体"/>
          <w:color w:val="auto"/>
          <w:sz w:val="72"/>
          <w:szCs w:val="44"/>
          <w:lang w:val="en-US" w:eastAsia="zh-CN"/>
        </w:rPr>
      </w:pPr>
      <w:r>
        <w:rPr>
          <w:rFonts w:hint="eastAsia" w:ascii="方正小标宋简体" w:hAnsi="方正小标宋简体" w:eastAsia="方正小标宋简体" w:cs="宋体"/>
          <w:color w:val="auto"/>
          <w:sz w:val="56"/>
          <w:szCs w:val="40"/>
          <w:lang w:val="en-US" w:eastAsia="zh-CN"/>
        </w:rPr>
        <w:t>广东省韶关生态环境监测中心站</w:t>
      </w:r>
      <w:r>
        <w:rPr>
          <w:rFonts w:hint="eastAsia" w:ascii="方正小标宋简体" w:hAnsi="方正小标宋简体" w:eastAsia="方正小标宋简体" w:cs="宋体"/>
          <w:color w:val="auto"/>
          <w:sz w:val="72"/>
          <w:szCs w:val="44"/>
        </w:rPr>
        <w:t>采购需求</w:t>
      </w:r>
      <w:r>
        <w:rPr>
          <w:rFonts w:hint="eastAsia" w:ascii="方正小标宋简体" w:hAnsi="方正小标宋简体" w:eastAsia="方正小标宋简体" w:cs="宋体"/>
          <w:color w:val="auto"/>
          <w:sz w:val="72"/>
          <w:szCs w:val="44"/>
          <w:lang w:val="en-US" w:eastAsia="zh-CN"/>
        </w:rPr>
        <w:t>及实施计划</w:t>
      </w:r>
    </w:p>
    <w:p w14:paraId="6872358F">
      <w:pPr>
        <w:jc w:val="center"/>
        <w:rPr>
          <w:rFonts w:hint="default" w:ascii="方正小标宋简体" w:hAnsi="方正小标宋简体" w:eastAsia="方正小标宋简体" w:cs="宋体"/>
          <w:color w:val="auto"/>
          <w:sz w:val="72"/>
          <w:szCs w:val="44"/>
          <w:lang w:val="en-US" w:eastAsia="zh-CN"/>
        </w:rPr>
      </w:pPr>
      <w:r>
        <w:rPr>
          <w:rFonts w:hint="eastAsia" w:ascii="方正小标宋简体" w:hAnsi="方正小标宋简体" w:eastAsia="方正小标宋简体" w:cs="宋体"/>
          <w:color w:val="auto"/>
          <w:sz w:val="72"/>
          <w:szCs w:val="44"/>
          <w:lang w:val="en-US" w:eastAsia="zh-CN"/>
        </w:rPr>
        <w:t>（自行采购）</w:t>
      </w:r>
    </w:p>
    <w:p w14:paraId="43E49366">
      <w:pPr>
        <w:jc w:val="center"/>
        <w:rPr>
          <w:rFonts w:ascii="方正小标宋简体" w:hAnsi="方正小标宋简体" w:eastAsia="方正小标宋简体"/>
          <w:color w:val="auto"/>
          <w:sz w:val="44"/>
          <w:szCs w:val="44"/>
        </w:rPr>
      </w:pPr>
    </w:p>
    <w:p w14:paraId="72745307">
      <w:pPr>
        <w:jc w:val="center"/>
        <w:rPr>
          <w:rFonts w:ascii="方正小标宋简体" w:hAnsi="方正小标宋简体" w:eastAsia="方正小标宋简体"/>
          <w:color w:val="auto"/>
          <w:sz w:val="44"/>
          <w:szCs w:val="44"/>
        </w:rPr>
      </w:pPr>
    </w:p>
    <w:p w14:paraId="2ACDC713">
      <w:pPr>
        <w:jc w:val="center"/>
        <w:rPr>
          <w:rFonts w:ascii="方正小标宋简体" w:hAnsi="方正小标宋简体" w:eastAsia="方正小标宋简体"/>
          <w:color w:val="auto"/>
          <w:sz w:val="44"/>
          <w:szCs w:val="44"/>
        </w:rPr>
      </w:pPr>
    </w:p>
    <w:p w14:paraId="43007595">
      <w:pPr>
        <w:jc w:val="center"/>
        <w:rPr>
          <w:rFonts w:ascii="方正小标宋简体" w:hAnsi="方正小标宋简体" w:eastAsia="方正小标宋简体"/>
          <w:color w:val="auto"/>
          <w:sz w:val="44"/>
          <w:szCs w:val="44"/>
        </w:rPr>
      </w:pPr>
    </w:p>
    <w:p w14:paraId="19513311">
      <w:pPr>
        <w:jc w:val="center"/>
        <w:rPr>
          <w:rFonts w:ascii="方正小标宋简体" w:hAnsi="方正小标宋简体" w:eastAsia="方正小标宋简体"/>
          <w:color w:val="auto"/>
          <w:sz w:val="44"/>
          <w:szCs w:val="44"/>
        </w:rPr>
      </w:pPr>
    </w:p>
    <w:p w14:paraId="293D52EE">
      <w:pPr>
        <w:rPr>
          <w:rFonts w:ascii="方正小标宋简体" w:hAnsi="方正小标宋简体" w:eastAsia="方正小标宋简体"/>
          <w:color w:val="auto"/>
          <w:sz w:val="44"/>
          <w:szCs w:val="44"/>
        </w:rPr>
      </w:pPr>
    </w:p>
    <w:p w14:paraId="76BC6255">
      <w:pPr>
        <w:rPr>
          <w:rFonts w:ascii="方正小标宋简体" w:hAnsi="方正小标宋简体" w:eastAsia="方正小标宋简体"/>
          <w:color w:val="auto"/>
          <w:sz w:val="32"/>
          <w:szCs w:val="32"/>
          <w:u w:val="single"/>
        </w:rPr>
      </w:pPr>
      <w:r>
        <w:rPr>
          <w:rFonts w:ascii="方正小标宋简体" w:hAnsi="方正小标宋简体" w:eastAsia="方正小标宋简体"/>
          <w:color w:val="auto"/>
          <w:sz w:val="32"/>
          <w:szCs w:val="32"/>
        </w:rPr>
        <w:t>项目名称</w:t>
      </w:r>
      <w:r>
        <w:rPr>
          <w:rFonts w:hint="eastAsia" w:ascii="方正小标宋简体" w:hAnsi="方正小标宋简体" w:eastAsia="方正小标宋简体"/>
          <w:color w:val="auto"/>
          <w:sz w:val="32"/>
          <w:szCs w:val="32"/>
        </w:rPr>
        <w:t>：</w:t>
      </w:r>
      <w:r>
        <w:rPr>
          <w:rFonts w:hint="eastAsia" w:ascii="方正小标宋简体" w:hAnsi="方正小标宋简体" w:eastAsia="方正小标宋简体"/>
          <w:color w:val="auto"/>
          <w:sz w:val="32"/>
          <w:szCs w:val="32"/>
          <w:u w:val="single"/>
        </w:rPr>
        <w:t xml:space="preserve"> </w:t>
      </w:r>
      <w:r>
        <w:rPr>
          <w:rFonts w:hint="eastAsia" w:ascii="方正小标宋简体" w:hAnsi="方正小标宋简体" w:eastAsia="方正小标宋简体"/>
          <w:color w:val="auto"/>
          <w:sz w:val="32"/>
          <w:szCs w:val="32"/>
          <w:u w:val="single"/>
          <w:lang w:val="en-US" w:eastAsia="zh-CN"/>
        </w:rPr>
        <w:t xml:space="preserve">2025年广东南岭空气背景站汽车租赁服务 </w:t>
      </w:r>
      <w:r>
        <w:rPr>
          <w:rFonts w:hint="eastAsia" w:ascii="方正小标宋简体" w:hAnsi="方正小标宋简体" w:eastAsia="方正小标宋简体"/>
          <w:color w:val="auto"/>
          <w:sz w:val="32"/>
          <w:szCs w:val="32"/>
          <w:u w:val="single"/>
        </w:rPr>
        <w:t xml:space="preserve"> </w:t>
      </w:r>
    </w:p>
    <w:bookmarkEnd w:id="0"/>
    <w:p w14:paraId="7B2FDB63">
      <w:pPr>
        <w:keepNext w:val="0"/>
        <w:keepLines w:val="0"/>
        <w:pageBreakBefore w:val="0"/>
        <w:widowControl/>
        <w:kinsoku/>
        <w:wordWrap/>
        <w:overflowPunct w:val="0"/>
        <w:topLinePunct w:val="0"/>
        <w:autoSpaceDE w:val="0"/>
        <w:autoSpaceDN w:val="0"/>
        <w:bidi w:val="0"/>
        <w:adjustRightInd w:val="0"/>
        <w:snapToGrid w:val="0"/>
        <w:spacing w:line="560" w:lineRule="exact"/>
        <w:ind w:firstLine="643" w:firstLineChars="200"/>
        <w:textAlignment w:val="baseline"/>
        <w:rPr>
          <w:rFonts w:hint="eastAsia" w:ascii="仿宋_GB2312" w:hAnsi="仿宋_GB2312" w:eastAsia="仿宋_GB2312" w:cs="仿宋_GB2312"/>
          <w:b/>
          <w:bCs/>
          <w:color w:val="auto"/>
          <w:sz w:val="32"/>
          <w:szCs w:val="32"/>
        </w:rPr>
        <w:sectPr>
          <w:headerReference r:id="rId5" w:type="default"/>
          <w:footerReference r:id="rId6" w:type="default"/>
          <w:pgSz w:w="11906" w:h="16838"/>
          <w:pgMar w:top="1984" w:right="1587" w:bottom="1701" w:left="1587"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p w14:paraId="443BB256">
      <w:pPr>
        <w:keepNext w:val="0"/>
        <w:keepLines w:val="0"/>
        <w:pageBreakBefore w:val="0"/>
        <w:widowControl/>
        <w:kinsoku/>
        <w:wordWrap/>
        <w:overflowPunct w:val="0"/>
        <w:topLinePunct w:val="0"/>
        <w:autoSpaceDE w:val="0"/>
        <w:autoSpaceDN w:val="0"/>
        <w:bidi w:val="0"/>
        <w:adjustRightInd w:val="0"/>
        <w:snapToGrid w:val="0"/>
        <w:spacing w:line="560" w:lineRule="exact"/>
        <w:ind w:firstLine="643" w:firstLineChars="200"/>
        <w:textAlignment w:val="baseline"/>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rPr>
        <w:t>一、</w:t>
      </w:r>
      <w:r>
        <w:rPr>
          <w:rFonts w:hint="eastAsia" w:ascii="仿宋_GB2312" w:hAnsi="仿宋_GB2312" w:eastAsia="仿宋_GB2312" w:cs="仿宋_GB2312"/>
          <w:b/>
          <w:bCs/>
          <w:color w:val="auto"/>
          <w:sz w:val="32"/>
          <w:szCs w:val="32"/>
          <w:lang w:val="en-US" w:eastAsia="zh-CN"/>
        </w:rPr>
        <w:t>项目概况</w:t>
      </w:r>
    </w:p>
    <w:p w14:paraId="3217326C">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广东南岭空气背景站位于广东南岭国家级自然保护区大顶山管理处天井山林场山项上，每周需前往例行巡检1-2次，山路途崎岖遥远（来回220公里，行驶时间5小时）。</w:t>
      </w:r>
    </w:p>
    <w:p w14:paraId="76E9ABAD">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本项目租赁车型主要为5座小轿车（特殊情况除外），采购项目预算金额7万元</w:t>
      </w:r>
      <w:r>
        <w:rPr>
          <w:rFonts w:hint="eastAsia" w:ascii="Times New Roman" w:hAnsi="Times New Roman" w:eastAsia="仿宋" w:cs="Times New Roman"/>
          <w:color w:val="auto"/>
          <w:sz w:val="32"/>
          <w:szCs w:val="32"/>
          <w:lang w:val="en-US" w:eastAsia="zh-CN"/>
        </w:rPr>
        <w:t>。</w:t>
      </w:r>
    </w:p>
    <w:p w14:paraId="7CB6A4C9">
      <w:pPr>
        <w:keepNext w:val="0"/>
        <w:keepLines w:val="0"/>
        <w:pageBreakBefore w:val="0"/>
        <w:widowControl/>
        <w:numPr>
          <w:ilvl w:val="0"/>
          <w:numId w:val="1"/>
        </w:numPr>
        <w:kinsoku/>
        <w:wordWrap/>
        <w:overflowPunct w:val="0"/>
        <w:topLinePunct w:val="0"/>
        <w:autoSpaceDE w:val="0"/>
        <w:autoSpaceDN w:val="0"/>
        <w:bidi w:val="0"/>
        <w:adjustRightInd w:val="0"/>
        <w:snapToGrid w:val="0"/>
        <w:spacing w:line="560" w:lineRule="exact"/>
        <w:ind w:firstLine="643" w:firstLineChars="200"/>
        <w:textAlignment w:val="baseline"/>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租赁服务</w:t>
      </w:r>
      <w:r>
        <w:rPr>
          <w:rFonts w:hint="eastAsia" w:ascii="仿宋_GB2312" w:hAnsi="仿宋_GB2312" w:eastAsia="仿宋_GB2312" w:cs="仿宋_GB2312"/>
          <w:b/>
          <w:bCs/>
          <w:color w:val="auto"/>
          <w:sz w:val="32"/>
          <w:szCs w:val="32"/>
          <w:lang w:val="en-US" w:eastAsia="zh-CN"/>
        </w:rPr>
        <w:t>范围</w:t>
      </w:r>
    </w:p>
    <w:p w14:paraId="7182438D">
      <w:pPr>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textAlignment w:val="baseline"/>
        <w:rPr>
          <w:rFonts w:hint="default" w:ascii="仿宋_GB2312" w:hAnsi="仿宋_GB2312" w:eastAsia="仿宋_GB2312" w:cs="仿宋_GB2312"/>
          <w:b/>
          <w:bCs/>
          <w:color w:val="auto"/>
          <w:sz w:val="32"/>
          <w:szCs w:val="32"/>
          <w:lang w:val="en-US"/>
        </w:rPr>
      </w:pP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color w:val="auto"/>
          <w:sz w:val="32"/>
          <w:szCs w:val="32"/>
          <w:lang w:val="en-US" w:eastAsia="zh-CN"/>
        </w:rPr>
        <w:t>本服务范围用于广东南岭空气背景站检查工作的租赁用车服务。</w:t>
      </w:r>
    </w:p>
    <w:p w14:paraId="32C207CE">
      <w:pPr>
        <w:keepNext w:val="0"/>
        <w:keepLines w:val="0"/>
        <w:pageBreakBefore w:val="0"/>
        <w:widowControl/>
        <w:numPr>
          <w:ilvl w:val="0"/>
          <w:numId w:val="1"/>
        </w:numPr>
        <w:kinsoku/>
        <w:wordWrap/>
        <w:overflowPunct w:val="0"/>
        <w:topLinePunct w:val="0"/>
        <w:autoSpaceDE w:val="0"/>
        <w:autoSpaceDN w:val="0"/>
        <w:bidi w:val="0"/>
        <w:adjustRightInd w:val="0"/>
        <w:snapToGrid w:val="0"/>
        <w:spacing w:line="560" w:lineRule="exact"/>
        <w:ind w:firstLine="643" w:firstLineChars="200"/>
        <w:textAlignment w:val="baseline"/>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rPr>
        <w:t>租赁服务费</w:t>
      </w:r>
    </w:p>
    <w:p w14:paraId="42F5A1F4">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租赁服务费包含车</w:t>
      </w:r>
      <w:r>
        <w:rPr>
          <w:rFonts w:hint="eastAsia" w:ascii="仿宋_GB2312" w:hAnsi="仿宋_GB2312" w:eastAsia="仿宋_GB2312" w:cs="仿宋_GB2312"/>
          <w:color w:val="auto"/>
          <w:sz w:val="32"/>
          <w:szCs w:val="32"/>
        </w:rPr>
        <w:t>辆租用费、驾驶员雇佣费、</w:t>
      </w:r>
      <w:r>
        <w:rPr>
          <w:rFonts w:hint="eastAsia" w:ascii="仿宋_GB2312" w:hAnsi="仿宋_GB2312" w:eastAsia="仿宋_GB2312" w:cs="仿宋_GB2312"/>
          <w:color w:val="auto"/>
          <w:sz w:val="32"/>
          <w:szCs w:val="32"/>
          <w:lang w:val="en-US" w:eastAsia="zh-CN"/>
        </w:rPr>
        <w:t>燃油</w:t>
      </w:r>
      <w:r>
        <w:rPr>
          <w:rFonts w:hint="eastAsia" w:ascii="仿宋_GB2312" w:hAnsi="仿宋_GB2312" w:eastAsia="仿宋_GB2312" w:cs="仿宋_GB2312"/>
          <w:color w:val="auto"/>
          <w:sz w:val="32"/>
          <w:szCs w:val="32"/>
        </w:rPr>
        <w:t>费、车辆通行费及停车费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其中车辆租用费、驾驶员雇佣费单独计算，燃油费、车辆通行费及停车费合并计算</w:t>
      </w:r>
      <w:r>
        <w:rPr>
          <w:rFonts w:hint="eastAsia" w:ascii="仿宋_GB2312" w:hAnsi="仿宋_GB2312" w:eastAsia="仿宋_GB2312" w:cs="仿宋_GB2312"/>
          <w:color w:val="auto"/>
          <w:sz w:val="32"/>
          <w:szCs w:val="32"/>
          <w:lang w:eastAsia="zh-CN"/>
        </w:rPr>
        <w:t>。</w:t>
      </w:r>
    </w:p>
    <w:p w14:paraId="61317A2F">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（一）车辆租用费是指公务出行租用车辆发生的费用。</w:t>
      </w:r>
    </w:p>
    <w:p w14:paraId="0FEE44BA">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（二）驾驶员雇佣费是指公务出行雇佣驾驶员发生的费用。</w:t>
      </w:r>
    </w:p>
    <w:p w14:paraId="5F931D5F">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（三）燃油费是指公务出行租用车辆所耗费的燃油费用。</w:t>
      </w:r>
    </w:p>
    <w:p w14:paraId="26AE6BC7">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（四）车辆通行费是指公务出行租用车辆通过收费公路、渡口、桥梁、隧道等所发生的通行费用。</w:t>
      </w:r>
    </w:p>
    <w:p w14:paraId="565031DE">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（五）停车费是指公务出行期间产生的车辆停放费用。 </w:t>
      </w:r>
    </w:p>
    <w:p w14:paraId="1019FD56">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3" w:firstLineChars="200"/>
        <w:textAlignment w:val="baseline"/>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四、租赁标准</w:t>
      </w:r>
    </w:p>
    <w:p w14:paraId="68D3CDE0">
      <w:pPr>
        <w:keepNext w:val="0"/>
        <w:keepLines w:val="0"/>
        <w:pageBreakBefore w:val="0"/>
        <w:widowControl w:val="0"/>
        <w:kinsoku/>
        <w:wordWrap/>
        <w:overflowPunct w:val="0"/>
        <w:topLinePunct w:val="0"/>
        <w:autoSpaceDE w:val="0"/>
        <w:autoSpaceDN w:val="0"/>
        <w:bidi w:val="0"/>
        <w:adjustRightInd w:val="0"/>
        <w:snapToGrid w:val="0"/>
        <w:spacing w:line="56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按照</w:t>
      </w:r>
      <w:r>
        <w:rPr>
          <w:rFonts w:hint="eastAsia" w:ascii="仿宋_GB2312" w:hAnsi="仿宋_GB2312" w:eastAsia="仿宋_GB2312" w:cs="仿宋_GB2312"/>
          <w:color w:val="auto"/>
          <w:sz w:val="32"/>
          <w:szCs w:val="32"/>
        </w:rPr>
        <w:t>日均出行距离</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250公里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及时长（10小时）</w:t>
      </w:r>
      <w:r>
        <w:rPr>
          <w:rFonts w:hint="eastAsia" w:ascii="仿宋_GB2312" w:hAnsi="仿宋_GB2312" w:eastAsia="仿宋_GB2312" w:cs="仿宋_GB2312"/>
          <w:color w:val="auto"/>
          <w:sz w:val="32"/>
          <w:szCs w:val="32"/>
        </w:rPr>
        <w:t>分为综合定额标准和分项定额标准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下表标准为最高限价，每种车型的报价不能超过其对应的最高限价。</w:t>
      </w:r>
    </w:p>
    <w:p w14:paraId="0FBAB20B">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snapToGrid w:val="0"/>
          <w:color w:val="auto"/>
          <w:kern w:val="0"/>
          <w:sz w:val="32"/>
          <w:szCs w:val="32"/>
          <w:lang w:val="en-US" w:eastAsia="en-US" w:bidi="ar-SA"/>
        </w:rPr>
        <w:t>（一）</w:t>
      </w:r>
      <w:r>
        <w:rPr>
          <w:rFonts w:hint="eastAsia" w:ascii="仿宋_GB2312" w:hAnsi="仿宋_GB2312" w:eastAsia="仿宋_GB2312" w:cs="仿宋_GB2312"/>
          <w:color w:val="auto"/>
          <w:sz w:val="32"/>
          <w:szCs w:val="32"/>
        </w:rPr>
        <w:t>日均出行距离不超过250公里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含250公里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的租车行为适用综合定额标准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超时统一按30元/小时，不足1小时按1小时计</w:t>
      </w:r>
      <w:r>
        <w:rPr>
          <w:rFonts w:hint="eastAsia" w:ascii="仿宋_GB2312" w:hAnsi="仿宋_GB2312" w:eastAsia="仿宋_GB2312" w:cs="仿宋_GB2312"/>
          <w:color w:val="auto"/>
          <w:sz w:val="32"/>
          <w:szCs w:val="32"/>
        </w:rPr>
        <w:t>。</w:t>
      </w:r>
    </w:p>
    <w:p w14:paraId="4B5FF198">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color w:val="auto"/>
          <w:sz w:val="32"/>
          <w:szCs w:val="32"/>
        </w:rPr>
      </w:pPr>
    </w:p>
    <w:tbl>
      <w:tblPr>
        <w:tblStyle w:val="11"/>
        <w:tblW w:w="9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6"/>
        <w:gridCol w:w="1217"/>
        <w:gridCol w:w="1646"/>
        <w:gridCol w:w="971"/>
        <w:gridCol w:w="1666"/>
        <w:gridCol w:w="1139"/>
        <w:gridCol w:w="1833"/>
      </w:tblGrid>
      <w:tr w14:paraId="780AD4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706" w:type="dxa"/>
            <w:vMerge w:val="restart"/>
            <w:tcBorders>
              <w:bottom w:val="nil"/>
            </w:tcBorders>
            <w:vAlign w:val="center"/>
          </w:tcPr>
          <w:p w14:paraId="1B925CDA">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r>
              <w:rPr>
                <w:rFonts w:hint="eastAsia" w:ascii="黑体" w:hAnsi="黑体" w:eastAsia="黑体" w:cs="黑体"/>
                <w:color w:val="auto"/>
                <w:sz w:val="28"/>
                <w:szCs w:val="28"/>
              </w:rPr>
              <w:t>类别</w:t>
            </w:r>
          </w:p>
        </w:tc>
        <w:tc>
          <w:tcPr>
            <w:tcW w:w="1217" w:type="dxa"/>
            <w:vMerge w:val="restart"/>
            <w:tcBorders>
              <w:bottom w:val="nil"/>
            </w:tcBorders>
            <w:vAlign w:val="center"/>
          </w:tcPr>
          <w:p w14:paraId="2A88CEFC">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r>
              <w:rPr>
                <w:rFonts w:hint="eastAsia" w:ascii="黑体" w:hAnsi="黑体" w:eastAsia="黑体" w:cs="黑体"/>
                <w:color w:val="auto"/>
                <w:sz w:val="28"/>
                <w:szCs w:val="28"/>
              </w:rPr>
              <w:t>车辆类型</w:t>
            </w:r>
          </w:p>
        </w:tc>
        <w:tc>
          <w:tcPr>
            <w:tcW w:w="1646" w:type="dxa"/>
            <w:vMerge w:val="restart"/>
            <w:tcBorders>
              <w:bottom w:val="nil"/>
            </w:tcBorders>
            <w:vAlign w:val="center"/>
          </w:tcPr>
          <w:p w14:paraId="6B76DCDB">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r>
              <w:rPr>
                <w:rFonts w:hint="eastAsia" w:ascii="黑体" w:hAnsi="黑体" w:eastAsia="黑体" w:cs="黑体"/>
                <w:color w:val="auto"/>
                <w:sz w:val="28"/>
                <w:szCs w:val="28"/>
              </w:rPr>
              <w:t>座位数</w:t>
            </w:r>
          </w:p>
        </w:tc>
        <w:tc>
          <w:tcPr>
            <w:tcW w:w="971" w:type="dxa"/>
            <w:tcBorders>
              <w:bottom w:val="nil"/>
              <w:right w:val="nil"/>
            </w:tcBorders>
            <w:vAlign w:val="center"/>
          </w:tcPr>
          <w:p w14:paraId="03D36195">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p>
        </w:tc>
        <w:tc>
          <w:tcPr>
            <w:tcW w:w="4638" w:type="dxa"/>
            <w:gridSpan w:val="3"/>
            <w:tcBorders>
              <w:left w:val="nil"/>
            </w:tcBorders>
            <w:vAlign w:val="center"/>
          </w:tcPr>
          <w:p w14:paraId="40FC2EA7">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r>
              <w:rPr>
                <w:rFonts w:hint="eastAsia" w:ascii="黑体" w:hAnsi="黑体" w:eastAsia="黑体" w:cs="黑体"/>
                <w:color w:val="auto"/>
                <w:sz w:val="28"/>
                <w:szCs w:val="28"/>
              </w:rPr>
              <w:t>综合定额（元，含税）</w:t>
            </w:r>
          </w:p>
        </w:tc>
      </w:tr>
      <w:tr w14:paraId="75C38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8" w:hRule="atLeast"/>
        </w:trPr>
        <w:tc>
          <w:tcPr>
            <w:tcW w:w="706" w:type="dxa"/>
            <w:vMerge w:val="continue"/>
            <w:tcBorders>
              <w:top w:val="nil"/>
            </w:tcBorders>
            <w:vAlign w:val="center"/>
          </w:tcPr>
          <w:p w14:paraId="673CFCD8">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p>
        </w:tc>
        <w:tc>
          <w:tcPr>
            <w:tcW w:w="1217" w:type="dxa"/>
            <w:vMerge w:val="continue"/>
            <w:tcBorders>
              <w:top w:val="nil"/>
            </w:tcBorders>
            <w:vAlign w:val="center"/>
          </w:tcPr>
          <w:p w14:paraId="7F4ED7FA">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p>
        </w:tc>
        <w:tc>
          <w:tcPr>
            <w:tcW w:w="1646" w:type="dxa"/>
            <w:vMerge w:val="continue"/>
            <w:tcBorders>
              <w:top w:val="nil"/>
            </w:tcBorders>
            <w:vAlign w:val="center"/>
          </w:tcPr>
          <w:p w14:paraId="242EB571">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p>
        </w:tc>
        <w:tc>
          <w:tcPr>
            <w:tcW w:w="971" w:type="dxa"/>
            <w:tcBorders>
              <w:top w:val="nil"/>
            </w:tcBorders>
            <w:vAlign w:val="center"/>
          </w:tcPr>
          <w:p w14:paraId="021948D6">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p>
        </w:tc>
        <w:tc>
          <w:tcPr>
            <w:tcW w:w="1666" w:type="dxa"/>
            <w:vAlign w:val="center"/>
          </w:tcPr>
          <w:p w14:paraId="5D1E361B">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r>
              <w:rPr>
                <w:rFonts w:hint="eastAsia" w:ascii="黑体" w:hAnsi="黑体" w:eastAsia="黑体" w:cs="黑体"/>
                <w:color w:val="auto"/>
                <w:sz w:val="28"/>
                <w:szCs w:val="28"/>
              </w:rPr>
              <w:t>其中：</w:t>
            </w:r>
          </w:p>
          <w:p w14:paraId="733BF614">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r>
              <w:rPr>
                <w:rFonts w:hint="eastAsia" w:ascii="黑体" w:hAnsi="黑体" w:eastAsia="黑体" w:cs="黑体"/>
                <w:color w:val="auto"/>
                <w:sz w:val="28"/>
                <w:szCs w:val="28"/>
              </w:rPr>
              <w:t>车辆租用费</w:t>
            </w:r>
          </w:p>
        </w:tc>
        <w:tc>
          <w:tcPr>
            <w:tcW w:w="1139" w:type="dxa"/>
            <w:vAlign w:val="center"/>
          </w:tcPr>
          <w:p w14:paraId="3F51B436">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r>
              <w:rPr>
                <w:rFonts w:hint="eastAsia" w:ascii="黑体" w:hAnsi="黑体" w:eastAsia="黑体" w:cs="黑体"/>
                <w:color w:val="auto"/>
                <w:sz w:val="28"/>
                <w:szCs w:val="28"/>
              </w:rPr>
              <w:t>驾驶员 雇佣费</w:t>
            </w:r>
          </w:p>
        </w:tc>
        <w:tc>
          <w:tcPr>
            <w:tcW w:w="1833" w:type="dxa"/>
            <w:vAlign w:val="center"/>
          </w:tcPr>
          <w:p w14:paraId="6836D6B3">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rPr>
            </w:pPr>
            <w:r>
              <w:rPr>
                <w:rFonts w:hint="eastAsia" w:ascii="黑体" w:hAnsi="黑体" w:eastAsia="黑体" w:cs="黑体"/>
                <w:color w:val="auto"/>
                <w:sz w:val="28"/>
                <w:szCs w:val="28"/>
              </w:rPr>
              <w:t>燃油费、通行 费、停车费</w:t>
            </w:r>
          </w:p>
        </w:tc>
      </w:tr>
      <w:tr w14:paraId="239456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706" w:type="dxa"/>
            <w:vAlign w:val="center"/>
          </w:tcPr>
          <w:p w14:paraId="1DB8C594">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1类</w:t>
            </w:r>
          </w:p>
        </w:tc>
        <w:tc>
          <w:tcPr>
            <w:tcW w:w="1217" w:type="dxa"/>
            <w:vAlign w:val="center"/>
          </w:tcPr>
          <w:p w14:paraId="6EEE1B96">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小轿车</w:t>
            </w:r>
          </w:p>
        </w:tc>
        <w:tc>
          <w:tcPr>
            <w:tcW w:w="1646" w:type="dxa"/>
            <w:vAlign w:val="center"/>
          </w:tcPr>
          <w:p w14:paraId="14930E6E">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5座</w:t>
            </w:r>
          </w:p>
        </w:tc>
        <w:tc>
          <w:tcPr>
            <w:tcW w:w="971" w:type="dxa"/>
            <w:vAlign w:val="center"/>
          </w:tcPr>
          <w:p w14:paraId="0265025D">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700</w:t>
            </w:r>
          </w:p>
        </w:tc>
        <w:tc>
          <w:tcPr>
            <w:tcW w:w="1666" w:type="dxa"/>
            <w:vAlign w:val="center"/>
          </w:tcPr>
          <w:p w14:paraId="38E40D96">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340</w:t>
            </w:r>
          </w:p>
        </w:tc>
        <w:tc>
          <w:tcPr>
            <w:tcW w:w="1139" w:type="dxa"/>
            <w:vAlign w:val="center"/>
          </w:tcPr>
          <w:p w14:paraId="0DEE0651">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200</w:t>
            </w:r>
          </w:p>
        </w:tc>
        <w:tc>
          <w:tcPr>
            <w:tcW w:w="1833" w:type="dxa"/>
            <w:vAlign w:val="center"/>
          </w:tcPr>
          <w:p w14:paraId="1D219D2C">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160</w:t>
            </w:r>
          </w:p>
        </w:tc>
      </w:tr>
      <w:tr w14:paraId="2E6B58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706" w:type="dxa"/>
            <w:vAlign w:val="center"/>
          </w:tcPr>
          <w:p w14:paraId="3C8BF2C5">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2类</w:t>
            </w:r>
          </w:p>
        </w:tc>
        <w:tc>
          <w:tcPr>
            <w:tcW w:w="1217" w:type="dxa"/>
            <w:vAlign w:val="center"/>
          </w:tcPr>
          <w:p w14:paraId="1EC2A6E0">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商务车</w:t>
            </w:r>
          </w:p>
        </w:tc>
        <w:tc>
          <w:tcPr>
            <w:tcW w:w="1646" w:type="dxa"/>
            <w:vAlign w:val="center"/>
          </w:tcPr>
          <w:p w14:paraId="133C3150">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6-9座</w:t>
            </w:r>
          </w:p>
        </w:tc>
        <w:tc>
          <w:tcPr>
            <w:tcW w:w="971" w:type="dxa"/>
            <w:vAlign w:val="center"/>
          </w:tcPr>
          <w:p w14:paraId="7EE79165">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800</w:t>
            </w:r>
          </w:p>
        </w:tc>
        <w:tc>
          <w:tcPr>
            <w:tcW w:w="1666" w:type="dxa"/>
            <w:vAlign w:val="center"/>
          </w:tcPr>
          <w:p w14:paraId="0188195D">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410</w:t>
            </w:r>
          </w:p>
        </w:tc>
        <w:tc>
          <w:tcPr>
            <w:tcW w:w="1139" w:type="dxa"/>
            <w:vAlign w:val="center"/>
          </w:tcPr>
          <w:p w14:paraId="09686D5A">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200</w:t>
            </w:r>
          </w:p>
        </w:tc>
        <w:tc>
          <w:tcPr>
            <w:tcW w:w="1833" w:type="dxa"/>
            <w:vAlign w:val="center"/>
          </w:tcPr>
          <w:p w14:paraId="333235B7">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190</w:t>
            </w:r>
          </w:p>
        </w:tc>
      </w:tr>
      <w:tr w14:paraId="146657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706" w:type="dxa"/>
            <w:vAlign w:val="center"/>
          </w:tcPr>
          <w:p w14:paraId="3D9B1E99">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3类</w:t>
            </w:r>
          </w:p>
        </w:tc>
        <w:tc>
          <w:tcPr>
            <w:tcW w:w="1217" w:type="dxa"/>
            <w:vAlign w:val="center"/>
          </w:tcPr>
          <w:p w14:paraId="202B1CE3">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中巴车</w:t>
            </w:r>
          </w:p>
        </w:tc>
        <w:tc>
          <w:tcPr>
            <w:tcW w:w="1646" w:type="dxa"/>
            <w:vAlign w:val="center"/>
          </w:tcPr>
          <w:p w14:paraId="1F7372C4">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10-19座</w:t>
            </w:r>
          </w:p>
        </w:tc>
        <w:tc>
          <w:tcPr>
            <w:tcW w:w="971" w:type="dxa"/>
            <w:vAlign w:val="center"/>
          </w:tcPr>
          <w:p w14:paraId="09C33165">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1200</w:t>
            </w:r>
          </w:p>
        </w:tc>
        <w:tc>
          <w:tcPr>
            <w:tcW w:w="1666" w:type="dxa"/>
            <w:vAlign w:val="center"/>
          </w:tcPr>
          <w:p w14:paraId="2AC9F813">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660</w:t>
            </w:r>
          </w:p>
        </w:tc>
        <w:tc>
          <w:tcPr>
            <w:tcW w:w="1139" w:type="dxa"/>
            <w:vAlign w:val="center"/>
          </w:tcPr>
          <w:p w14:paraId="22BE5791">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230</w:t>
            </w:r>
          </w:p>
        </w:tc>
        <w:tc>
          <w:tcPr>
            <w:tcW w:w="1833" w:type="dxa"/>
            <w:vAlign w:val="center"/>
          </w:tcPr>
          <w:p w14:paraId="37476DE4">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310</w:t>
            </w:r>
          </w:p>
        </w:tc>
      </w:tr>
      <w:tr w14:paraId="6ABEF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06" w:type="dxa"/>
            <w:vAlign w:val="center"/>
          </w:tcPr>
          <w:p w14:paraId="5C2196C0">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4类</w:t>
            </w:r>
          </w:p>
        </w:tc>
        <w:tc>
          <w:tcPr>
            <w:tcW w:w="1217" w:type="dxa"/>
            <w:vAlign w:val="center"/>
          </w:tcPr>
          <w:p w14:paraId="31F43F20">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大巴车</w:t>
            </w:r>
          </w:p>
        </w:tc>
        <w:tc>
          <w:tcPr>
            <w:tcW w:w="1646" w:type="dxa"/>
            <w:vAlign w:val="center"/>
          </w:tcPr>
          <w:p w14:paraId="2AA75ED8">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20座以上</w:t>
            </w:r>
          </w:p>
        </w:tc>
        <w:tc>
          <w:tcPr>
            <w:tcW w:w="971" w:type="dxa"/>
            <w:vAlign w:val="center"/>
          </w:tcPr>
          <w:p w14:paraId="47A32B73">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1600</w:t>
            </w:r>
          </w:p>
        </w:tc>
        <w:tc>
          <w:tcPr>
            <w:tcW w:w="1666" w:type="dxa"/>
            <w:vAlign w:val="center"/>
          </w:tcPr>
          <w:p w14:paraId="2454708C">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810</w:t>
            </w:r>
          </w:p>
        </w:tc>
        <w:tc>
          <w:tcPr>
            <w:tcW w:w="1139" w:type="dxa"/>
            <w:vAlign w:val="center"/>
          </w:tcPr>
          <w:p w14:paraId="55401A61">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260</w:t>
            </w:r>
          </w:p>
        </w:tc>
        <w:tc>
          <w:tcPr>
            <w:tcW w:w="1833" w:type="dxa"/>
            <w:vAlign w:val="center"/>
          </w:tcPr>
          <w:p w14:paraId="2895AAD4">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530</w:t>
            </w:r>
          </w:p>
        </w:tc>
      </w:tr>
    </w:tbl>
    <w:p w14:paraId="16C46001">
      <w:pPr>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ind w:left="0" w:leftChars="0"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napToGrid w:val="0"/>
          <w:color w:val="auto"/>
          <w:kern w:val="0"/>
          <w:sz w:val="32"/>
          <w:szCs w:val="32"/>
          <w:lang w:val="en-US" w:eastAsia="zh-CN" w:bidi="ar-SA"/>
        </w:rPr>
        <w:t>（二）</w:t>
      </w:r>
      <w:r>
        <w:rPr>
          <w:rFonts w:hint="eastAsia" w:ascii="仿宋_GB2312" w:hAnsi="仿宋_GB2312" w:eastAsia="仿宋_GB2312" w:cs="仿宋_GB2312"/>
          <w:color w:val="auto"/>
          <w:sz w:val="32"/>
          <w:szCs w:val="32"/>
        </w:rPr>
        <w:t>日均出行距离超过 250 公里的租车行为适用分项定额标准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租赁服务费</w:t>
      </w:r>
      <w:r>
        <w:rPr>
          <w:rFonts w:hint="eastAsia" w:ascii="仿宋_GB2312" w:hAnsi="仿宋_GB2312" w:eastAsia="仿宋_GB2312" w:cs="仿宋_GB2312"/>
          <w:color w:val="auto"/>
          <w:sz w:val="32"/>
          <w:szCs w:val="32"/>
          <w:lang w:val="en-US" w:eastAsia="zh-CN"/>
        </w:rPr>
        <w:t>包含250公里服务费及超时、超里程费用，不足1小时按1小时计</w:t>
      </w:r>
      <w:r>
        <w:rPr>
          <w:rFonts w:hint="eastAsia" w:ascii="仿宋_GB2312" w:hAnsi="仿宋_GB2312" w:eastAsia="仿宋_GB2312" w:cs="仿宋_GB2312"/>
          <w:color w:val="auto"/>
          <w:sz w:val="32"/>
          <w:szCs w:val="32"/>
          <w:lang w:val="en-US" w:eastAsia="zh-CN"/>
        </w:rPr>
        <w:t>。</w:t>
      </w:r>
    </w:p>
    <w:tbl>
      <w:tblPr>
        <w:tblStyle w:val="9"/>
        <w:tblW w:w="9158" w:type="dxa"/>
        <w:tblInd w:w="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711"/>
        <w:gridCol w:w="1682"/>
        <w:gridCol w:w="2054"/>
        <w:gridCol w:w="2784"/>
      </w:tblGrid>
      <w:tr w14:paraId="04B3D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7" w:type="dxa"/>
            <w:vMerge w:val="restart"/>
            <w:vAlign w:val="center"/>
          </w:tcPr>
          <w:p w14:paraId="20470E56">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类别</w:t>
            </w:r>
          </w:p>
        </w:tc>
        <w:tc>
          <w:tcPr>
            <w:tcW w:w="1711" w:type="dxa"/>
            <w:vMerge w:val="restart"/>
            <w:vAlign w:val="center"/>
          </w:tcPr>
          <w:p w14:paraId="6DF35FE5">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车辆类型</w:t>
            </w:r>
          </w:p>
        </w:tc>
        <w:tc>
          <w:tcPr>
            <w:tcW w:w="1682" w:type="dxa"/>
            <w:vMerge w:val="restart"/>
            <w:vAlign w:val="center"/>
          </w:tcPr>
          <w:p w14:paraId="0370023C">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座位数</w:t>
            </w:r>
          </w:p>
        </w:tc>
        <w:tc>
          <w:tcPr>
            <w:tcW w:w="4838" w:type="dxa"/>
            <w:gridSpan w:val="2"/>
            <w:vAlign w:val="center"/>
          </w:tcPr>
          <w:p w14:paraId="294A77F0">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分项</w:t>
            </w:r>
            <w:r>
              <w:rPr>
                <w:rFonts w:hint="eastAsia" w:ascii="黑体" w:hAnsi="黑体" w:eastAsia="黑体" w:cs="黑体"/>
                <w:color w:val="auto"/>
                <w:sz w:val="28"/>
                <w:szCs w:val="28"/>
              </w:rPr>
              <w:t>定额（元，含税）</w:t>
            </w:r>
          </w:p>
        </w:tc>
      </w:tr>
      <w:tr w14:paraId="7EBA3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7" w:type="dxa"/>
            <w:vMerge w:val="continue"/>
            <w:vAlign w:val="center"/>
          </w:tcPr>
          <w:p w14:paraId="10608E1F">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lang w:val="en-US" w:eastAsia="zh-CN"/>
              </w:rPr>
            </w:pPr>
          </w:p>
        </w:tc>
        <w:tc>
          <w:tcPr>
            <w:tcW w:w="1711" w:type="dxa"/>
            <w:vMerge w:val="continue"/>
            <w:vAlign w:val="center"/>
          </w:tcPr>
          <w:p w14:paraId="0419B07F">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lang w:val="en-US" w:eastAsia="zh-CN"/>
              </w:rPr>
            </w:pPr>
          </w:p>
        </w:tc>
        <w:tc>
          <w:tcPr>
            <w:tcW w:w="1682" w:type="dxa"/>
            <w:vMerge w:val="continue"/>
            <w:vAlign w:val="center"/>
          </w:tcPr>
          <w:p w14:paraId="714B3CC1">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lang w:val="en-US" w:eastAsia="zh-CN"/>
              </w:rPr>
            </w:pPr>
          </w:p>
        </w:tc>
        <w:tc>
          <w:tcPr>
            <w:tcW w:w="2054" w:type="dxa"/>
            <w:vAlign w:val="center"/>
          </w:tcPr>
          <w:p w14:paraId="636C9F0D">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250公里服务费</w:t>
            </w:r>
          </w:p>
        </w:tc>
        <w:tc>
          <w:tcPr>
            <w:tcW w:w="2784" w:type="dxa"/>
            <w:vAlign w:val="center"/>
          </w:tcPr>
          <w:p w14:paraId="43722439">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超时、超里程费用</w:t>
            </w:r>
          </w:p>
        </w:tc>
      </w:tr>
      <w:tr w14:paraId="54DE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27" w:type="dxa"/>
            <w:vAlign w:val="center"/>
          </w:tcPr>
          <w:p w14:paraId="576B4DA4">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1类</w:t>
            </w:r>
          </w:p>
        </w:tc>
        <w:tc>
          <w:tcPr>
            <w:tcW w:w="1711" w:type="dxa"/>
            <w:vAlign w:val="center"/>
          </w:tcPr>
          <w:p w14:paraId="462180D6">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小轿车</w:t>
            </w:r>
          </w:p>
        </w:tc>
        <w:tc>
          <w:tcPr>
            <w:tcW w:w="1682" w:type="dxa"/>
            <w:vAlign w:val="center"/>
          </w:tcPr>
          <w:p w14:paraId="62551752">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5座</w:t>
            </w:r>
          </w:p>
        </w:tc>
        <w:tc>
          <w:tcPr>
            <w:tcW w:w="2054" w:type="dxa"/>
            <w:vAlign w:val="center"/>
          </w:tcPr>
          <w:p w14:paraId="485C2CF3">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700</w:t>
            </w:r>
          </w:p>
        </w:tc>
        <w:tc>
          <w:tcPr>
            <w:tcW w:w="2784" w:type="dxa"/>
            <w:vAlign w:val="center"/>
          </w:tcPr>
          <w:p w14:paraId="29543012">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超里程：4元/公里</w:t>
            </w:r>
          </w:p>
          <w:p w14:paraId="7C6BCD46">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超时：30元/小时</w:t>
            </w:r>
          </w:p>
        </w:tc>
      </w:tr>
      <w:tr w14:paraId="355C4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27" w:type="dxa"/>
            <w:vAlign w:val="center"/>
          </w:tcPr>
          <w:p w14:paraId="5E6135AE">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2类</w:t>
            </w:r>
          </w:p>
        </w:tc>
        <w:tc>
          <w:tcPr>
            <w:tcW w:w="1711" w:type="dxa"/>
            <w:vAlign w:val="center"/>
          </w:tcPr>
          <w:p w14:paraId="29C7C69E">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商务车</w:t>
            </w:r>
          </w:p>
        </w:tc>
        <w:tc>
          <w:tcPr>
            <w:tcW w:w="1682" w:type="dxa"/>
            <w:vAlign w:val="center"/>
          </w:tcPr>
          <w:p w14:paraId="28846590">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6-9 座</w:t>
            </w:r>
          </w:p>
        </w:tc>
        <w:tc>
          <w:tcPr>
            <w:tcW w:w="2054" w:type="dxa"/>
            <w:vAlign w:val="center"/>
          </w:tcPr>
          <w:p w14:paraId="3C4190D5">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800</w:t>
            </w:r>
          </w:p>
        </w:tc>
        <w:tc>
          <w:tcPr>
            <w:tcW w:w="2784" w:type="dxa"/>
            <w:vAlign w:val="center"/>
          </w:tcPr>
          <w:p w14:paraId="66DA5844">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超里程：4元/公里</w:t>
            </w:r>
          </w:p>
          <w:p w14:paraId="41AEE323">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超时：30元/小时</w:t>
            </w:r>
          </w:p>
        </w:tc>
      </w:tr>
      <w:tr w14:paraId="3B63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927" w:type="dxa"/>
            <w:vAlign w:val="center"/>
          </w:tcPr>
          <w:p w14:paraId="14B01879">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3类</w:t>
            </w:r>
          </w:p>
        </w:tc>
        <w:tc>
          <w:tcPr>
            <w:tcW w:w="1711" w:type="dxa"/>
            <w:vAlign w:val="center"/>
          </w:tcPr>
          <w:p w14:paraId="3C99B150">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中巴车</w:t>
            </w:r>
          </w:p>
        </w:tc>
        <w:tc>
          <w:tcPr>
            <w:tcW w:w="1682" w:type="dxa"/>
            <w:vAlign w:val="center"/>
          </w:tcPr>
          <w:p w14:paraId="77ADFD87">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10-19 座</w:t>
            </w:r>
          </w:p>
        </w:tc>
        <w:tc>
          <w:tcPr>
            <w:tcW w:w="2054" w:type="dxa"/>
            <w:vAlign w:val="center"/>
          </w:tcPr>
          <w:p w14:paraId="38759573">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1200</w:t>
            </w:r>
          </w:p>
        </w:tc>
        <w:tc>
          <w:tcPr>
            <w:tcW w:w="2784" w:type="dxa"/>
            <w:vAlign w:val="center"/>
          </w:tcPr>
          <w:p w14:paraId="0B121305">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超里程：5元/公里</w:t>
            </w:r>
          </w:p>
          <w:p w14:paraId="13387CBF">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超时：40元/小时</w:t>
            </w:r>
          </w:p>
        </w:tc>
      </w:tr>
      <w:tr w14:paraId="7A12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927" w:type="dxa"/>
            <w:vAlign w:val="center"/>
          </w:tcPr>
          <w:p w14:paraId="4ECB0B7D">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4类</w:t>
            </w:r>
          </w:p>
        </w:tc>
        <w:tc>
          <w:tcPr>
            <w:tcW w:w="1711" w:type="dxa"/>
            <w:vAlign w:val="center"/>
          </w:tcPr>
          <w:p w14:paraId="4883A0CE">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大巴车</w:t>
            </w:r>
          </w:p>
        </w:tc>
        <w:tc>
          <w:tcPr>
            <w:tcW w:w="1682" w:type="dxa"/>
            <w:vAlign w:val="center"/>
          </w:tcPr>
          <w:p w14:paraId="38B1FD0A">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20 座以上</w:t>
            </w:r>
          </w:p>
        </w:tc>
        <w:tc>
          <w:tcPr>
            <w:tcW w:w="2054" w:type="dxa"/>
            <w:vAlign w:val="center"/>
          </w:tcPr>
          <w:p w14:paraId="4B20FEA0">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1600</w:t>
            </w:r>
          </w:p>
        </w:tc>
        <w:tc>
          <w:tcPr>
            <w:tcW w:w="2784" w:type="dxa"/>
            <w:vAlign w:val="center"/>
          </w:tcPr>
          <w:p w14:paraId="60814021">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超里程：5元/公里</w:t>
            </w:r>
          </w:p>
          <w:p w14:paraId="320E5924">
            <w:pPr>
              <w:keepNext w:val="0"/>
              <w:keepLines w:val="0"/>
              <w:pageBreakBefore w:val="0"/>
              <w:widowControl/>
              <w:kinsoku/>
              <w:wordWrap/>
              <w:overflowPunct w:val="0"/>
              <w:topLinePunct w:val="0"/>
              <w:autoSpaceDE w:val="0"/>
              <w:autoSpaceDN w:val="0"/>
              <w:bidi w:val="0"/>
              <w:adjustRightInd w:val="0"/>
              <w:snapToGrid w:val="0"/>
              <w:spacing w:line="4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超时：50元/小时</w:t>
            </w:r>
          </w:p>
        </w:tc>
      </w:tr>
    </w:tbl>
    <w:p w14:paraId="3985758E">
      <w:pPr>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ind w:left="0" w:leftChars="0" w:firstLine="640" w:firstLineChars="20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snapToGrid w:val="0"/>
          <w:color w:val="auto"/>
          <w:kern w:val="0"/>
          <w:sz w:val="32"/>
          <w:szCs w:val="32"/>
          <w:lang w:val="en-US" w:eastAsia="en-US" w:bidi="ar-SA"/>
        </w:rPr>
        <w:t>（三）</w:t>
      </w:r>
      <w:r>
        <w:rPr>
          <w:rFonts w:hint="eastAsia" w:ascii="仿宋_GB2312" w:hAnsi="仿宋_GB2312" w:eastAsia="仿宋_GB2312" w:cs="仿宋_GB2312"/>
          <w:color w:val="auto"/>
          <w:sz w:val="32"/>
          <w:szCs w:val="32"/>
        </w:rPr>
        <w:t>如采购人</w:t>
      </w:r>
      <w:r>
        <w:rPr>
          <w:rFonts w:hint="eastAsia" w:ascii="仿宋_GB2312" w:hAnsi="仿宋_GB2312" w:eastAsia="仿宋_GB2312" w:cs="仿宋_GB2312"/>
          <w:color w:val="auto"/>
          <w:sz w:val="32"/>
          <w:szCs w:val="32"/>
          <w:lang w:val="en-US" w:eastAsia="zh-CN"/>
        </w:rPr>
        <w:t>租车行为</w:t>
      </w:r>
      <w:r>
        <w:rPr>
          <w:rFonts w:hint="eastAsia" w:ascii="仿宋_GB2312" w:hAnsi="仿宋_GB2312" w:eastAsia="仿宋_GB2312" w:cs="仿宋_GB2312"/>
          <w:color w:val="auto"/>
          <w:sz w:val="32"/>
          <w:szCs w:val="32"/>
        </w:rPr>
        <w:t>需要</w:t>
      </w:r>
      <w:r>
        <w:rPr>
          <w:rFonts w:hint="eastAsia" w:ascii="仿宋_GB2312" w:hAnsi="仿宋_GB2312" w:eastAsia="仿宋_GB2312" w:cs="仿宋_GB2312"/>
          <w:color w:val="auto"/>
          <w:sz w:val="32"/>
          <w:szCs w:val="32"/>
          <w:lang w:val="en-US" w:eastAsia="zh-CN"/>
        </w:rPr>
        <w:t>跨日</w:t>
      </w:r>
      <w:r>
        <w:rPr>
          <w:rFonts w:hint="eastAsia" w:ascii="仿宋_GB2312" w:hAnsi="仿宋_GB2312" w:eastAsia="仿宋_GB2312" w:cs="仿宋_GB2312"/>
          <w:color w:val="auto"/>
          <w:sz w:val="32"/>
          <w:szCs w:val="32"/>
        </w:rPr>
        <w:t>，司机住宿费用由采购人支付，</w:t>
      </w:r>
      <w:r>
        <w:rPr>
          <w:rFonts w:hint="eastAsia" w:ascii="仿宋_GB2312" w:hAnsi="仿宋_GB2312" w:eastAsia="仿宋_GB2312" w:cs="仿宋_GB2312"/>
          <w:color w:val="auto"/>
          <w:sz w:val="32"/>
          <w:szCs w:val="32"/>
          <w:lang w:val="en-US" w:eastAsia="zh-CN"/>
        </w:rPr>
        <w:t>按</w:t>
      </w:r>
      <w:r>
        <w:rPr>
          <w:rFonts w:hint="eastAsia" w:ascii="仿宋_GB2312" w:hAnsi="仿宋_GB2312" w:eastAsia="仿宋_GB2312" w:cs="仿宋_GB2312"/>
          <w:color w:val="auto"/>
          <w:sz w:val="32"/>
          <w:szCs w:val="32"/>
        </w:rPr>
        <w:t>250元/晚计入租车总费用。</w:t>
      </w:r>
      <w:r>
        <w:rPr>
          <w:rFonts w:hint="eastAsia" w:ascii="仿宋_GB2312" w:hAnsi="仿宋_GB2312" w:eastAsia="仿宋_GB2312" w:cs="仿宋_GB2312"/>
          <w:color w:val="auto"/>
          <w:sz w:val="32"/>
          <w:szCs w:val="32"/>
          <w:lang w:val="en-US" w:eastAsia="zh-CN"/>
        </w:rPr>
        <w:t>第二日用车起始时间按甲方上车起算。</w:t>
      </w:r>
      <w:r>
        <w:rPr>
          <w:rFonts w:hint="eastAsia" w:ascii="仿宋_GB2312" w:hAnsi="仿宋_GB2312" w:eastAsia="仿宋_GB2312" w:cs="仿宋_GB2312"/>
          <w:color w:val="auto"/>
          <w:sz w:val="32"/>
          <w:szCs w:val="32"/>
        </w:rPr>
        <w:t>住宿费为固定单价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不需要投标人报价</w:t>
      </w:r>
      <w:r>
        <w:rPr>
          <w:rFonts w:hint="eastAsia" w:ascii="仿宋_GB2312" w:hAnsi="仿宋_GB2312" w:eastAsia="仿宋_GB2312" w:cs="仿宋_GB2312"/>
          <w:color w:val="auto"/>
          <w:sz w:val="32"/>
          <w:szCs w:val="32"/>
        </w:rPr>
        <w:t>。</w:t>
      </w:r>
    </w:p>
    <w:p w14:paraId="415BFA50">
      <w:pPr>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ind w:left="0" w:leftChars="0"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napToGrid w:val="0"/>
          <w:color w:val="auto"/>
          <w:kern w:val="0"/>
          <w:sz w:val="32"/>
          <w:szCs w:val="32"/>
          <w:lang w:val="en-US" w:eastAsia="zh-CN" w:bidi="ar-SA"/>
        </w:rPr>
        <w:t>（四）</w:t>
      </w:r>
      <w:r>
        <w:rPr>
          <w:rFonts w:hint="eastAsia" w:ascii="仿宋_GB2312" w:hAnsi="仿宋_GB2312" w:eastAsia="仿宋_GB2312" w:cs="仿宋_GB2312"/>
          <w:color w:val="auto"/>
          <w:sz w:val="32"/>
          <w:szCs w:val="32"/>
          <w:lang w:val="en-US" w:eastAsia="zh-CN"/>
        </w:rPr>
        <w:t>司机在出车过程中产生的餐饮费用自理</w:t>
      </w:r>
      <w:r>
        <w:rPr>
          <w:rFonts w:hint="eastAsia" w:ascii="仿宋_GB2312" w:hAnsi="仿宋_GB2312" w:eastAsia="仿宋_GB2312" w:cs="仿宋_GB2312"/>
          <w:color w:val="auto"/>
          <w:sz w:val="32"/>
          <w:szCs w:val="32"/>
          <w:lang w:val="en-US" w:eastAsia="zh-CN"/>
        </w:rPr>
        <w:t>。</w:t>
      </w:r>
    </w:p>
    <w:p w14:paraId="5B2DD994">
      <w:pPr>
        <w:keepNext w:val="0"/>
        <w:keepLines w:val="0"/>
        <w:pageBreakBefore w:val="0"/>
        <w:widowControl/>
        <w:kinsoku/>
        <w:wordWrap/>
        <w:overflowPunct w:val="0"/>
        <w:topLinePunct w:val="0"/>
        <w:autoSpaceDE w:val="0"/>
        <w:autoSpaceDN w:val="0"/>
        <w:bidi w:val="0"/>
        <w:adjustRightInd w:val="0"/>
        <w:snapToGrid w:val="0"/>
        <w:spacing w:line="560" w:lineRule="exact"/>
        <w:ind w:firstLine="643" w:firstLineChars="200"/>
        <w:textAlignment w:val="baseline"/>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五、服务时间及公里数核算</w:t>
      </w:r>
    </w:p>
    <w:p w14:paraId="24BC0D6C">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（一）履约期限：</w:t>
      </w:r>
      <w:r>
        <w:rPr>
          <w:rFonts w:hint="eastAsia" w:ascii="仿宋_GB2312" w:hAnsi="仿宋_GB2312" w:eastAsia="仿宋_GB2312" w:cs="仿宋_GB2312"/>
          <w:color w:val="auto"/>
          <w:sz w:val="32"/>
          <w:szCs w:val="32"/>
          <w:lang w:val="en-US" w:eastAsia="zh-CN"/>
        </w:rPr>
        <w:t>合同签订之日起一年</w:t>
      </w:r>
      <w:r>
        <w:rPr>
          <w:rFonts w:hint="eastAsia" w:ascii="仿宋_GB2312" w:hAnsi="仿宋_GB2312" w:eastAsia="仿宋_GB2312" w:cs="仿宋_GB2312"/>
          <w:color w:val="auto"/>
          <w:sz w:val="32"/>
          <w:szCs w:val="32"/>
          <w:lang w:val="en-US" w:eastAsia="zh-CN"/>
        </w:rPr>
        <w:t>。</w:t>
      </w:r>
    </w:p>
    <w:p w14:paraId="04E3933E">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（二）服务时间：</w:t>
      </w:r>
      <w:r>
        <w:rPr>
          <w:rFonts w:hint="eastAsia" w:ascii="仿宋_GB2312" w:hAnsi="仿宋_GB2312" w:eastAsia="仿宋_GB2312" w:cs="仿宋_GB2312"/>
          <w:color w:val="auto"/>
          <w:sz w:val="32"/>
          <w:szCs w:val="32"/>
          <w:lang w:val="en-US" w:eastAsia="zh-CN"/>
        </w:rPr>
        <w:t>由乙方填写上下车的时间及服务时长，甲方签字确认</w:t>
      </w:r>
      <w:r>
        <w:rPr>
          <w:rFonts w:hint="eastAsia" w:ascii="仿宋_GB2312" w:hAnsi="仿宋_GB2312" w:eastAsia="仿宋_GB2312" w:cs="仿宋_GB2312"/>
          <w:color w:val="auto"/>
          <w:sz w:val="32"/>
          <w:szCs w:val="32"/>
          <w:lang w:val="en-US" w:eastAsia="zh-CN"/>
        </w:rPr>
        <w:t>。</w:t>
      </w:r>
    </w:p>
    <w:p w14:paraId="3C2D2A8B">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）公里数核算：</w:t>
      </w:r>
      <w:r>
        <w:rPr>
          <w:rFonts w:hint="eastAsia" w:ascii="仿宋_GB2312" w:hAnsi="仿宋_GB2312" w:eastAsia="仿宋_GB2312" w:cs="仿宋_GB2312"/>
          <w:color w:val="auto"/>
          <w:sz w:val="32"/>
          <w:szCs w:val="32"/>
          <w:lang w:val="en-US" w:eastAsia="zh-CN"/>
        </w:rPr>
        <w:t>由乙方填写上下车的表数及行驶公里数，甲方签字确认</w:t>
      </w:r>
      <w:r>
        <w:rPr>
          <w:rFonts w:hint="eastAsia" w:ascii="仿宋_GB2312" w:hAnsi="仿宋_GB2312" w:eastAsia="仿宋_GB2312" w:cs="仿宋_GB2312"/>
          <w:color w:val="auto"/>
          <w:sz w:val="32"/>
          <w:szCs w:val="32"/>
          <w:lang w:val="en-US" w:eastAsia="zh-CN"/>
        </w:rPr>
        <w:t>。</w:t>
      </w:r>
    </w:p>
    <w:p w14:paraId="55F12D46">
      <w:pPr>
        <w:keepNext w:val="0"/>
        <w:keepLines w:val="0"/>
        <w:pageBreakBefore w:val="0"/>
        <w:widowControl/>
        <w:kinsoku/>
        <w:wordWrap/>
        <w:overflowPunct w:val="0"/>
        <w:topLinePunct w:val="0"/>
        <w:autoSpaceDE w:val="0"/>
        <w:autoSpaceDN w:val="0"/>
        <w:bidi w:val="0"/>
        <w:adjustRightInd w:val="0"/>
        <w:snapToGrid w:val="0"/>
        <w:spacing w:line="560" w:lineRule="exact"/>
        <w:ind w:firstLine="643" w:firstLineChars="200"/>
        <w:textAlignment w:val="baseline"/>
        <w:rPr>
          <w:rFonts w:hint="default"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FF0000"/>
          <w:sz w:val="32"/>
          <w:szCs w:val="32"/>
          <w:lang w:val="en-US" w:eastAsia="zh-CN"/>
        </w:rPr>
        <w:t>六</w:t>
      </w:r>
      <w:r>
        <w:rPr>
          <w:rFonts w:hint="eastAsia" w:ascii="仿宋_GB2312" w:hAnsi="仿宋_GB2312" w:eastAsia="仿宋_GB2312" w:cs="仿宋_GB2312"/>
          <w:b/>
          <w:bCs/>
          <w:color w:val="FF0000"/>
          <w:sz w:val="32"/>
          <w:szCs w:val="32"/>
        </w:rPr>
        <w:t>、供应商资格</w:t>
      </w:r>
      <w:r>
        <w:rPr>
          <w:rFonts w:hint="eastAsia" w:ascii="仿宋_GB2312" w:hAnsi="仿宋_GB2312" w:eastAsia="仿宋_GB2312" w:cs="仿宋_GB2312"/>
          <w:b/>
          <w:bCs/>
          <w:color w:val="FF0000"/>
          <w:sz w:val="32"/>
          <w:szCs w:val="32"/>
          <w:lang w:val="en-US" w:eastAsia="zh-CN"/>
        </w:rPr>
        <w:t>及报价要求</w:t>
      </w:r>
    </w:p>
    <w:p w14:paraId="0EEC0C51">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乙方按照“四、</w:t>
      </w:r>
      <w:r>
        <w:rPr>
          <w:rFonts w:hint="eastAsia" w:ascii="仿宋_GB2312" w:hAnsi="仿宋_GB2312" w:eastAsia="仿宋_GB2312" w:cs="仿宋_GB2312"/>
          <w:color w:val="auto"/>
          <w:sz w:val="32"/>
          <w:szCs w:val="32"/>
          <w:lang w:val="en-US" w:eastAsia="zh-CN"/>
        </w:rPr>
        <w:t>租赁标准”，对各类车型的综合定额和分项定额进行报价，超时超里程收费标准为约定不变，不需要投标人报价。</w:t>
      </w:r>
    </w:p>
    <w:p w14:paraId="78DBB114">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）乙方必须是一个合法的汽车运输企业，具备汽车租赁、运输、实际承运的资质、经验和能力，能</w:t>
      </w:r>
      <w:bookmarkStart w:id="1" w:name="_GoBack"/>
      <w:bookmarkEnd w:id="1"/>
      <w:r>
        <w:rPr>
          <w:rFonts w:hint="eastAsia" w:ascii="仿宋_GB2312" w:hAnsi="仿宋_GB2312" w:eastAsia="仿宋_GB2312" w:cs="仿宋_GB2312"/>
          <w:color w:val="auto"/>
          <w:sz w:val="32"/>
          <w:szCs w:val="32"/>
          <w:lang w:eastAsia="zh-CN"/>
        </w:rPr>
        <w:t>开具正规发票。</w:t>
      </w:r>
      <w:r>
        <w:rPr>
          <w:rFonts w:hint="eastAsia" w:ascii="仿宋_GB2312" w:hAnsi="仿宋_GB2312" w:eastAsia="仿宋_GB2312" w:cs="仿宋_GB2312"/>
          <w:color w:val="auto"/>
          <w:sz w:val="32"/>
          <w:szCs w:val="32"/>
          <w:lang w:eastAsia="zh-CN"/>
        </w:rPr>
        <w:t>投标（响应）时提交有效的营业执照（或事业法人登记证或身份证等相关证明）副本复印件</w:t>
      </w:r>
      <w:r>
        <w:rPr>
          <w:rFonts w:hint="eastAsia" w:ascii="仿宋_GB2312" w:hAnsi="仿宋_GB2312" w:eastAsia="仿宋_GB2312" w:cs="仿宋_GB2312"/>
          <w:color w:val="auto"/>
          <w:sz w:val="32"/>
          <w:szCs w:val="32"/>
          <w:lang w:eastAsia="zh-CN"/>
        </w:rPr>
        <w:t>。</w:t>
      </w:r>
    </w:p>
    <w:p w14:paraId="18645EAC">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）乙方需要有完善的车辆管理及安全管理制度，应安排专人管理，在接到甲方用车通知后及时调配车辆，并提供车况良好的车辆（</w:t>
      </w:r>
      <w:r>
        <w:rPr>
          <w:rFonts w:hint="eastAsia" w:ascii="仿宋_GB2312" w:hAnsi="仿宋_GB2312" w:eastAsia="仿宋_GB2312" w:cs="仿宋_GB2312"/>
          <w:color w:val="auto"/>
          <w:sz w:val="32"/>
          <w:szCs w:val="32"/>
          <w:lang w:val="en-US" w:eastAsia="zh-CN"/>
        </w:rPr>
        <w:t>车龄不超过5年、里程不超过10万公里</w:t>
      </w:r>
      <w:r>
        <w:rPr>
          <w:rFonts w:hint="eastAsia" w:ascii="仿宋_GB2312" w:hAnsi="仿宋_GB2312" w:eastAsia="仿宋_GB2312" w:cs="仿宋_GB2312"/>
          <w:color w:val="auto"/>
          <w:sz w:val="32"/>
          <w:szCs w:val="32"/>
          <w:lang w:eastAsia="zh-CN"/>
        </w:rPr>
        <w:t>）、具有较高职业素质和驾驶技能的驾驶员为甲方服务，</w:t>
      </w:r>
      <w:r>
        <w:rPr>
          <w:rFonts w:hint="eastAsia" w:ascii="仿宋_GB2312" w:hAnsi="仿宋_GB2312" w:eastAsia="仿宋_GB2312" w:cs="仿宋_GB2312"/>
          <w:color w:val="auto"/>
          <w:sz w:val="32"/>
          <w:szCs w:val="32"/>
          <w:lang w:val="en-US" w:eastAsia="zh-CN"/>
        </w:rPr>
        <w:t>以满足上山用车需求（海拔1690米），</w:t>
      </w:r>
      <w:r>
        <w:rPr>
          <w:rFonts w:hint="eastAsia" w:ascii="仿宋_GB2312" w:hAnsi="仿宋_GB2312" w:eastAsia="仿宋_GB2312" w:cs="仿宋_GB2312"/>
          <w:color w:val="auto"/>
          <w:sz w:val="32"/>
          <w:szCs w:val="32"/>
          <w:lang w:eastAsia="zh-CN"/>
        </w:rPr>
        <w:t>驾驶员必须取得国家承认的合法有效的驾驶证件，且驾龄在10年以上，驾驶员年龄不超过60周岁。乙方应要求驾驶员遵章守法，执行管理制度，自觉对车辆进行日常检查和保养工作。</w:t>
      </w:r>
      <w:r>
        <w:rPr>
          <w:rFonts w:hint="eastAsia" w:ascii="仿宋_GB2312" w:hAnsi="仿宋_GB2312" w:eastAsia="仿宋_GB2312" w:cs="仿宋_GB2312"/>
          <w:color w:val="auto"/>
          <w:sz w:val="32"/>
          <w:szCs w:val="32"/>
          <w:lang w:eastAsia="zh-CN"/>
        </w:rPr>
        <w:t>投标（响应）时提交</w:t>
      </w:r>
      <w:r>
        <w:rPr>
          <w:rFonts w:hint="eastAsia" w:ascii="仿宋_GB2312" w:hAnsi="仿宋_GB2312" w:eastAsia="仿宋_GB2312" w:cs="仿宋_GB2312"/>
          <w:color w:val="auto"/>
          <w:sz w:val="32"/>
          <w:szCs w:val="32"/>
          <w:lang w:val="en-US" w:eastAsia="zh-CN"/>
        </w:rPr>
        <w:t>公司</w:t>
      </w:r>
      <w:r>
        <w:rPr>
          <w:rFonts w:hint="eastAsia" w:ascii="仿宋_GB2312" w:hAnsi="仿宋_GB2312" w:eastAsia="仿宋_GB2312" w:cs="仿宋_GB2312"/>
          <w:color w:val="auto"/>
          <w:sz w:val="32"/>
          <w:szCs w:val="32"/>
          <w:lang w:eastAsia="zh-CN"/>
        </w:rPr>
        <w:t>有效的车辆管理及安全管理制度复印件</w:t>
      </w:r>
      <w:r>
        <w:rPr>
          <w:rFonts w:hint="eastAsia" w:ascii="仿宋_GB2312" w:hAnsi="仿宋_GB2312" w:eastAsia="仿宋_GB2312" w:cs="仿宋_GB2312"/>
          <w:color w:val="auto"/>
          <w:sz w:val="32"/>
          <w:szCs w:val="32"/>
          <w:lang w:eastAsia="zh-CN"/>
        </w:rPr>
        <w:t>。</w:t>
      </w:r>
    </w:p>
    <w:p w14:paraId="2467E52C">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）▲乙方所提供租赁的车辆必须为乙方自有车辆</w:t>
      </w:r>
      <w:r>
        <w:rPr>
          <w:rFonts w:hint="eastAsia" w:ascii="仿宋_GB2312" w:hAnsi="仿宋_GB2312" w:eastAsia="仿宋_GB2312" w:cs="仿宋_GB2312"/>
          <w:color w:val="auto"/>
          <w:sz w:val="32"/>
          <w:szCs w:val="32"/>
          <w:lang w:eastAsia="zh-CN"/>
        </w:rPr>
        <w:t>或合法租赁的车辆（</w:t>
      </w:r>
      <w:r>
        <w:rPr>
          <w:rFonts w:hint="eastAsia" w:ascii="仿宋_GB2312" w:hAnsi="仿宋_GB2312" w:eastAsia="仿宋_GB2312" w:cs="仿宋_GB2312"/>
          <w:color w:val="auto"/>
          <w:sz w:val="32"/>
          <w:szCs w:val="32"/>
          <w:lang w:val="en-US" w:eastAsia="zh-CN"/>
        </w:rPr>
        <w:t>5座小轿车必须为乙方自有车辆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投标（响应）时提交</w:t>
      </w:r>
      <w:r>
        <w:rPr>
          <w:rFonts w:hint="eastAsia" w:ascii="仿宋_GB2312" w:hAnsi="仿宋_GB2312" w:eastAsia="仿宋_GB2312" w:cs="仿宋_GB2312"/>
          <w:color w:val="auto"/>
          <w:sz w:val="32"/>
          <w:szCs w:val="32"/>
          <w:lang w:eastAsia="zh-CN"/>
        </w:rPr>
        <w:t>拟投入本项目的车辆</w:t>
      </w:r>
      <w:r>
        <w:rPr>
          <w:rFonts w:hint="eastAsia" w:ascii="仿宋_GB2312" w:hAnsi="仿宋_GB2312" w:eastAsia="仿宋_GB2312" w:cs="仿宋_GB2312"/>
          <w:color w:val="auto"/>
          <w:sz w:val="32"/>
          <w:szCs w:val="32"/>
          <w:lang w:val="en-US" w:eastAsia="zh-CN"/>
        </w:rPr>
        <w:t>信息</w:t>
      </w:r>
      <w:r>
        <w:rPr>
          <w:rFonts w:hint="eastAsia" w:ascii="仿宋_GB2312" w:hAnsi="仿宋_GB2312" w:eastAsia="仿宋_GB2312" w:cs="仿宋_GB2312"/>
          <w:color w:val="auto"/>
          <w:sz w:val="32"/>
          <w:szCs w:val="32"/>
          <w:lang w:val="en-US" w:eastAsia="zh-CN"/>
        </w:rPr>
        <w:t>，包括</w:t>
      </w:r>
      <w:r>
        <w:rPr>
          <w:rFonts w:hint="eastAsia" w:ascii="仿宋_GB2312" w:hAnsi="仿宋_GB2312" w:eastAsia="仿宋_GB2312" w:cs="仿宋_GB2312"/>
          <w:color w:val="auto"/>
          <w:sz w:val="32"/>
          <w:szCs w:val="32"/>
          <w:lang w:eastAsia="zh-CN"/>
        </w:rPr>
        <w:t>提供车辆行驶证、车辆</w:t>
      </w:r>
      <w:r>
        <w:rPr>
          <w:rFonts w:hint="eastAsia" w:ascii="仿宋_GB2312" w:hAnsi="仿宋_GB2312" w:eastAsia="仿宋_GB2312" w:cs="仿宋_GB2312"/>
          <w:color w:val="auto"/>
          <w:sz w:val="32"/>
          <w:szCs w:val="32"/>
          <w:lang w:val="en-US" w:eastAsia="zh-CN"/>
        </w:rPr>
        <w:t>购买</w:t>
      </w:r>
      <w:r>
        <w:rPr>
          <w:rFonts w:hint="eastAsia" w:ascii="仿宋_GB2312" w:hAnsi="仿宋_GB2312" w:eastAsia="仿宋_GB2312" w:cs="仿宋_GB2312"/>
          <w:color w:val="auto"/>
          <w:sz w:val="32"/>
          <w:szCs w:val="32"/>
          <w:lang w:eastAsia="zh-CN"/>
        </w:rPr>
        <w:t>合同等证明材料，拟投入本项目车辆应经公安等部门检验合格年审合格，需购买全险，其中第三者责任险保额须为人民币100万元以上（含100万元）。</w:t>
      </w:r>
      <w:r>
        <w:rPr>
          <w:rFonts w:hint="eastAsia" w:ascii="仿宋_GB2312" w:hAnsi="仿宋_GB2312" w:eastAsia="仿宋_GB2312" w:cs="仿宋_GB2312"/>
          <w:color w:val="auto"/>
          <w:sz w:val="32"/>
          <w:szCs w:val="32"/>
          <w:lang w:val="en-US" w:eastAsia="zh-CN"/>
        </w:rPr>
        <w:t>甲方</w:t>
      </w:r>
      <w:r>
        <w:rPr>
          <w:rFonts w:hint="eastAsia" w:ascii="仿宋_GB2312" w:hAnsi="仿宋_GB2312" w:eastAsia="仿宋_GB2312" w:cs="仿宋_GB2312"/>
          <w:color w:val="auto"/>
          <w:sz w:val="32"/>
          <w:szCs w:val="32"/>
          <w:lang w:eastAsia="zh-CN"/>
        </w:rPr>
        <w:t>优先选择</w:t>
      </w:r>
      <w:r>
        <w:rPr>
          <w:rFonts w:hint="eastAsia" w:ascii="仿宋_GB2312" w:hAnsi="仿宋_GB2312" w:eastAsia="仿宋_GB2312" w:cs="仿宋_GB2312"/>
          <w:color w:val="auto"/>
          <w:sz w:val="32"/>
          <w:szCs w:val="32"/>
          <w:lang w:val="en-US" w:eastAsia="zh-CN"/>
        </w:rPr>
        <w:t>拟投入本项目</w:t>
      </w:r>
      <w:r>
        <w:rPr>
          <w:rFonts w:hint="eastAsia" w:ascii="仿宋_GB2312" w:hAnsi="仿宋_GB2312" w:eastAsia="仿宋_GB2312" w:cs="仿宋_GB2312"/>
          <w:color w:val="auto"/>
          <w:sz w:val="32"/>
          <w:szCs w:val="32"/>
          <w:lang w:eastAsia="zh-CN"/>
        </w:rPr>
        <w:t>车辆年份较新、车况较好的供应商。</w:t>
      </w:r>
    </w:p>
    <w:p w14:paraId="736A9D52">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）乙方应保证甲方</w:t>
      </w:r>
      <w:r>
        <w:rPr>
          <w:rFonts w:hint="eastAsia" w:ascii="仿宋_GB2312" w:hAnsi="仿宋_GB2312" w:eastAsia="仿宋_GB2312" w:cs="仿宋_GB2312"/>
          <w:color w:val="auto"/>
          <w:sz w:val="32"/>
          <w:szCs w:val="32"/>
          <w:lang w:val="en-US" w:eastAsia="zh-CN"/>
        </w:rPr>
        <w:t>应急用车需求，必须在两小时内到达用车地点，并</w:t>
      </w:r>
      <w:r>
        <w:rPr>
          <w:rFonts w:hint="eastAsia" w:ascii="仿宋_GB2312" w:hAnsi="仿宋_GB2312" w:eastAsia="仿宋_GB2312" w:cs="仿宋_GB2312"/>
          <w:color w:val="auto"/>
          <w:sz w:val="32"/>
          <w:szCs w:val="32"/>
          <w:lang w:eastAsia="zh-CN"/>
        </w:rPr>
        <w:t>及时、安全</w:t>
      </w:r>
      <w:r>
        <w:rPr>
          <w:rFonts w:hint="eastAsia" w:ascii="仿宋_GB2312" w:hAnsi="仿宋_GB2312" w:eastAsia="仿宋_GB2312" w:cs="仿宋_GB2312"/>
          <w:color w:val="auto"/>
          <w:sz w:val="32"/>
          <w:szCs w:val="32"/>
          <w:lang w:val="en-US" w:eastAsia="zh-CN"/>
        </w:rPr>
        <w:t>送达</w:t>
      </w:r>
      <w:r>
        <w:rPr>
          <w:rFonts w:hint="eastAsia" w:ascii="仿宋_GB2312" w:hAnsi="仿宋_GB2312" w:eastAsia="仿宋_GB2312" w:cs="仿宋_GB2312"/>
          <w:color w:val="auto"/>
          <w:sz w:val="32"/>
          <w:szCs w:val="32"/>
          <w:lang w:eastAsia="zh-CN"/>
        </w:rPr>
        <w:t>目的地。车辆运输服务中发生的交通违章、交通事故、交通肇事的责任由乙方承担，甲方无需承担任何责任。</w:t>
      </w:r>
      <w:r>
        <w:rPr>
          <w:rFonts w:hint="eastAsia" w:ascii="仿宋_GB2312" w:hAnsi="仿宋_GB2312" w:eastAsia="仿宋_GB2312" w:cs="仿宋_GB2312"/>
          <w:color w:val="auto"/>
          <w:sz w:val="32"/>
          <w:szCs w:val="32"/>
          <w:lang w:eastAsia="zh-CN"/>
        </w:rPr>
        <w:t>投标（响应）时提交</w:t>
      </w:r>
      <w:r>
        <w:rPr>
          <w:rFonts w:hint="eastAsia" w:ascii="仿宋_GB2312" w:hAnsi="仿宋_GB2312" w:eastAsia="仿宋_GB2312" w:cs="仿宋_GB2312"/>
          <w:color w:val="auto"/>
          <w:sz w:val="32"/>
          <w:szCs w:val="32"/>
          <w:lang w:val="en-US" w:eastAsia="zh-CN"/>
        </w:rPr>
        <w:t>承诺函，格式自拟</w:t>
      </w:r>
      <w:r>
        <w:rPr>
          <w:rFonts w:hint="eastAsia" w:ascii="仿宋_GB2312" w:hAnsi="仿宋_GB2312" w:eastAsia="仿宋_GB2312" w:cs="仿宋_GB2312"/>
          <w:color w:val="auto"/>
          <w:sz w:val="32"/>
          <w:szCs w:val="32"/>
          <w:lang w:val="en-US" w:eastAsia="zh-CN"/>
        </w:rPr>
        <w:t>。</w:t>
      </w:r>
    </w:p>
    <w:p w14:paraId="41E45E1C">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由于乙方司机原因导致采购人乘坐乙方车辆的人员受到人身或财产损失的，采购人有权立即终止本合同，并且追加乙方相应的赔偿责任。</w:t>
      </w:r>
    </w:p>
    <w:p w14:paraId="68338EE4">
      <w:pPr>
        <w:keepNext w:val="0"/>
        <w:keepLines w:val="0"/>
        <w:pageBreakBefore w:val="0"/>
        <w:widowControl/>
        <w:kinsoku/>
        <w:wordWrap/>
        <w:overflowPunct w:val="0"/>
        <w:topLinePunct w:val="0"/>
        <w:autoSpaceDE w:val="0"/>
        <w:autoSpaceDN w:val="0"/>
        <w:bidi w:val="0"/>
        <w:adjustRightInd w:val="0"/>
        <w:snapToGrid w:val="0"/>
        <w:spacing w:line="560" w:lineRule="exact"/>
        <w:ind w:firstLine="643" w:firstLineChars="200"/>
        <w:textAlignment w:val="baseline"/>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七、结算方式</w:t>
      </w:r>
    </w:p>
    <w:p w14:paraId="1C2B0B56">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结合背景站每周巡检1次例行检查、每月2-3次的临时故障排查检修，每年8-10次的省级检查、每年2-3次总站检查等实际用车需求，一年上山次数不少于90次，共需车辆租赁费用至少70000元。</w:t>
      </w:r>
      <w:r>
        <w:rPr>
          <w:rFonts w:hint="default" w:ascii="仿宋_GB2312" w:hAnsi="仿宋_GB2312" w:eastAsia="仿宋_GB2312" w:cs="仿宋_GB2312"/>
          <w:color w:val="auto"/>
          <w:sz w:val="32"/>
          <w:szCs w:val="32"/>
          <w:lang w:val="en-US" w:eastAsia="zh-CN"/>
        </w:rPr>
        <w:t>合同暂定预算总额（即采购预算）为（大写）：</w:t>
      </w:r>
      <w:r>
        <w:rPr>
          <w:rFonts w:hint="eastAsia" w:ascii="仿宋_GB2312" w:hAnsi="仿宋_GB2312" w:eastAsia="仿宋_GB2312" w:cs="仿宋_GB2312"/>
          <w:color w:val="auto"/>
          <w:sz w:val="32"/>
          <w:szCs w:val="32"/>
          <w:lang w:val="en-US" w:eastAsia="zh-CN"/>
        </w:rPr>
        <w:t>柒</w:t>
      </w:r>
      <w:r>
        <w:rPr>
          <w:rFonts w:hint="default" w:ascii="仿宋_GB2312" w:hAnsi="仿宋_GB2312" w:eastAsia="仿宋_GB2312" w:cs="仿宋_GB2312"/>
          <w:color w:val="auto"/>
          <w:sz w:val="32"/>
          <w:szCs w:val="32"/>
          <w:lang w:val="en-US" w:eastAsia="zh-CN"/>
        </w:rPr>
        <w:t>万元整（￥</w:t>
      </w:r>
      <w:r>
        <w:rPr>
          <w:rFonts w:hint="eastAsia" w:ascii="仿宋_GB2312" w:hAnsi="仿宋_GB2312" w:eastAsia="仿宋_GB2312" w:cs="仿宋_GB2312"/>
          <w:color w:val="auto"/>
          <w:sz w:val="32"/>
          <w:szCs w:val="32"/>
          <w:lang w:val="en-US" w:eastAsia="zh-CN"/>
        </w:rPr>
        <w:t>70</w:t>
      </w:r>
      <w:r>
        <w:rPr>
          <w:rFonts w:hint="default" w:ascii="仿宋_GB2312" w:hAnsi="仿宋_GB2312" w:eastAsia="仿宋_GB2312" w:cs="仿宋_GB2312"/>
          <w:color w:val="auto"/>
          <w:sz w:val="32"/>
          <w:szCs w:val="32"/>
          <w:lang w:val="en-US" w:eastAsia="zh-CN"/>
        </w:rPr>
        <w:t>000.00元）人民币（已含税费）</w:t>
      </w:r>
      <w:r>
        <w:rPr>
          <w:rFonts w:hint="eastAsia" w:ascii="仿宋_GB2312" w:hAnsi="仿宋_GB2312" w:eastAsia="仿宋_GB2312" w:cs="仿宋_GB2312"/>
          <w:color w:val="auto"/>
          <w:sz w:val="32"/>
          <w:szCs w:val="32"/>
          <w:lang w:val="en-US" w:eastAsia="zh-CN"/>
        </w:rPr>
        <w:t>，以实际发生额为准。</w:t>
      </w:r>
    </w:p>
    <w:p w14:paraId="621BFE9F">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每次用车结束后，由甲乙双方经办人共同填写“用车派车单”,并签字确认，双方各保存一份。甲方按实际用车单据实结算。</w:t>
      </w:r>
    </w:p>
    <w:p w14:paraId="525CCE01">
      <w:pPr>
        <w:keepNext w:val="0"/>
        <w:keepLines w:val="0"/>
        <w:pageBreakBefore w:val="0"/>
        <w:widowControl/>
        <w:kinsoku/>
        <w:wordWrap/>
        <w:overflowPunct w:val="0"/>
        <w:topLinePunct w:val="0"/>
        <w:autoSpaceDE w:val="0"/>
        <w:autoSpaceDN w:val="0"/>
        <w:bidi w:val="0"/>
        <w:adjustRightInd w:val="0"/>
        <w:snapToGrid w:val="0"/>
        <w:spacing w:line="560" w:lineRule="exact"/>
        <w:ind w:firstLine="643" w:firstLineChars="200"/>
        <w:textAlignment w:val="baseline"/>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八、违约责任</w:t>
      </w:r>
    </w:p>
    <w:p w14:paraId="37C19CF2">
      <w:pPr>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1.乙方如不能按照约定时间提供车辆，应提前1日通知甲方，乙方如不能按照约定时间、数量提供车辆，又不及时通知甲方的，应当支付约定车费30%违约金。</w:t>
      </w:r>
    </w:p>
    <w:p w14:paraId="5028B7D9">
      <w:pPr>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甲</w:t>
      </w:r>
      <w:r>
        <w:rPr>
          <w:rFonts w:hint="default" w:ascii="仿宋_GB2312" w:hAnsi="仿宋_GB2312" w:eastAsia="仿宋_GB2312" w:cs="仿宋_GB2312"/>
          <w:color w:val="auto"/>
          <w:sz w:val="32"/>
          <w:szCs w:val="32"/>
          <w:lang w:val="en-US" w:eastAsia="zh-CN"/>
        </w:rPr>
        <w:t>方如不能按照约定时间使用车辆，应提前1日通知</w:t>
      </w:r>
      <w:r>
        <w:rPr>
          <w:rFonts w:hint="eastAsia" w:ascii="仿宋_GB2312" w:hAnsi="仿宋_GB2312" w:eastAsia="仿宋_GB2312" w:cs="仿宋_GB2312"/>
          <w:color w:val="auto"/>
          <w:sz w:val="32"/>
          <w:szCs w:val="32"/>
          <w:lang w:val="en-US" w:eastAsia="zh-CN"/>
        </w:rPr>
        <w:t>乙</w:t>
      </w:r>
      <w:r>
        <w:rPr>
          <w:rFonts w:hint="default" w:ascii="仿宋_GB2312" w:hAnsi="仿宋_GB2312" w:eastAsia="仿宋_GB2312" w:cs="仿宋_GB2312"/>
          <w:color w:val="auto"/>
          <w:sz w:val="32"/>
          <w:szCs w:val="32"/>
          <w:lang w:val="en-US" w:eastAsia="zh-CN"/>
        </w:rPr>
        <w:t>方，</w:t>
      </w:r>
      <w:r>
        <w:rPr>
          <w:rFonts w:hint="eastAsia" w:ascii="仿宋_GB2312" w:hAnsi="仿宋_GB2312" w:eastAsia="仿宋_GB2312" w:cs="仿宋_GB2312"/>
          <w:color w:val="auto"/>
          <w:sz w:val="32"/>
          <w:szCs w:val="32"/>
          <w:lang w:val="en-US" w:eastAsia="zh-CN"/>
        </w:rPr>
        <w:t>甲</w:t>
      </w:r>
      <w:r>
        <w:rPr>
          <w:rFonts w:hint="default" w:ascii="仿宋_GB2312" w:hAnsi="仿宋_GB2312" w:eastAsia="仿宋_GB2312" w:cs="仿宋_GB2312"/>
          <w:color w:val="auto"/>
          <w:sz w:val="32"/>
          <w:szCs w:val="32"/>
          <w:lang w:val="en-US" w:eastAsia="zh-CN"/>
        </w:rPr>
        <w:t>方如不能按照约定时间、数量使用车辆，又不及时通知乙方的，应当支付约定车费30%违约金。</w:t>
      </w:r>
    </w:p>
    <w:p w14:paraId="5E376AAA">
      <w:pPr>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3.乙方提供的车辆标准低于约定的汽车品牌、规格或驾乘人数等要求，实际价款由双方协商确定，乙方应当减少或退还约定价款与实际价款差额；给</w:t>
      </w:r>
      <w:r>
        <w:rPr>
          <w:rFonts w:hint="eastAsia" w:ascii="仿宋_GB2312" w:hAnsi="仿宋_GB2312" w:eastAsia="仿宋_GB2312" w:cs="仿宋_GB2312"/>
          <w:color w:val="auto"/>
          <w:sz w:val="32"/>
          <w:szCs w:val="32"/>
          <w:lang w:val="en-US" w:eastAsia="zh-CN"/>
        </w:rPr>
        <w:t>甲</w:t>
      </w:r>
      <w:r>
        <w:rPr>
          <w:rFonts w:hint="default" w:ascii="仿宋_GB2312" w:hAnsi="仿宋_GB2312" w:eastAsia="仿宋_GB2312" w:cs="仿宋_GB2312"/>
          <w:color w:val="auto"/>
          <w:sz w:val="32"/>
          <w:szCs w:val="32"/>
          <w:lang w:val="en-US" w:eastAsia="zh-CN"/>
        </w:rPr>
        <w:t>方造成经济损失的，还应赔偿经济损失。</w:t>
      </w:r>
    </w:p>
    <w:p w14:paraId="7767170B">
      <w:pPr>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4.由于</w:t>
      </w:r>
      <w:r>
        <w:rPr>
          <w:rFonts w:hint="eastAsia" w:ascii="仿宋_GB2312" w:hAnsi="仿宋_GB2312" w:eastAsia="仿宋_GB2312" w:cs="仿宋_GB2312"/>
          <w:color w:val="auto"/>
          <w:sz w:val="32"/>
          <w:szCs w:val="32"/>
          <w:lang w:val="en-US" w:eastAsia="zh-CN"/>
        </w:rPr>
        <w:t>甲</w:t>
      </w:r>
      <w:r>
        <w:rPr>
          <w:rFonts w:hint="default" w:ascii="仿宋_GB2312" w:hAnsi="仿宋_GB2312" w:eastAsia="仿宋_GB2312" w:cs="仿宋_GB2312"/>
          <w:color w:val="auto"/>
          <w:sz w:val="32"/>
          <w:szCs w:val="32"/>
          <w:lang w:val="en-US" w:eastAsia="zh-CN"/>
        </w:rPr>
        <w:t>方原因造成延误行程，超出约定租车期限的，</w:t>
      </w:r>
      <w:r>
        <w:rPr>
          <w:rFonts w:hint="eastAsia" w:ascii="仿宋_GB2312" w:hAnsi="仿宋_GB2312" w:eastAsia="仿宋_GB2312" w:cs="仿宋_GB2312"/>
          <w:color w:val="auto"/>
          <w:sz w:val="32"/>
          <w:szCs w:val="32"/>
          <w:lang w:val="en-US" w:eastAsia="zh-CN"/>
        </w:rPr>
        <w:t>甲</w:t>
      </w:r>
      <w:r>
        <w:rPr>
          <w:rFonts w:hint="default" w:ascii="仿宋_GB2312" w:hAnsi="仿宋_GB2312" w:eastAsia="仿宋_GB2312" w:cs="仿宋_GB2312"/>
          <w:color w:val="auto"/>
          <w:sz w:val="32"/>
          <w:szCs w:val="32"/>
          <w:lang w:val="en-US" w:eastAsia="zh-CN"/>
        </w:rPr>
        <w:t>方应当支付超时部分的租车费用，费用标准由双方协商确定；给</w:t>
      </w:r>
      <w:r>
        <w:rPr>
          <w:rFonts w:hint="eastAsia" w:ascii="仿宋_GB2312" w:hAnsi="仿宋_GB2312" w:eastAsia="仿宋_GB2312" w:cs="仿宋_GB2312"/>
          <w:color w:val="auto"/>
          <w:sz w:val="32"/>
          <w:szCs w:val="32"/>
          <w:lang w:val="en-US" w:eastAsia="zh-CN"/>
        </w:rPr>
        <w:t>乙</w:t>
      </w:r>
      <w:r>
        <w:rPr>
          <w:rFonts w:hint="default" w:ascii="仿宋_GB2312" w:hAnsi="仿宋_GB2312" w:eastAsia="仿宋_GB2312" w:cs="仿宋_GB2312"/>
          <w:color w:val="auto"/>
          <w:sz w:val="32"/>
          <w:szCs w:val="32"/>
          <w:lang w:val="en-US" w:eastAsia="zh-CN"/>
        </w:rPr>
        <w:t>方造成经济损失的，还应赔偿经济损失。</w:t>
      </w:r>
    </w:p>
    <w:p w14:paraId="16FE31DA">
      <w:pPr>
        <w:keepNext w:val="0"/>
        <w:keepLines w:val="0"/>
        <w:pageBreakBefore w:val="0"/>
        <w:widowControl/>
        <w:numPr>
          <w:ilvl w:val="0"/>
          <w:numId w:val="0"/>
        </w:numPr>
        <w:kinsoku/>
        <w:wordWrap/>
        <w:overflowPunct w:val="0"/>
        <w:topLinePunct w:val="0"/>
        <w:autoSpaceDE w:val="0"/>
        <w:autoSpaceDN w:val="0"/>
        <w:bidi w:val="0"/>
        <w:adjustRightInd w:val="0"/>
        <w:snapToGrid w:val="0"/>
        <w:spacing w:line="56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5.乙方应当对运输过程中乘客的伤亡承担损害赔偿责任，但伤亡是乘客自身原因造成的或者是乘客故意、重大过失造成的除外。</w:t>
      </w:r>
    </w:p>
    <w:p w14:paraId="2EFED941">
      <w:pPr>
        <w:keepNext w:val="0"/>
        <w:keepLines w:val="0"/>
        <w:pageBreakBefore w:val="0"/>
        <w:widowControl/>
        <w:kinsoku/>
        <w:wordWrap/>
        <w:overflowPunct w:val="0"/>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color w:val="auto"/>
          <w:sz w:val="32"/>
          <w:szCs w:val="32"/>
          <w:lang w:val="en-US" w:eastAsia="zh-CN"/>
        </w:rPr>
      </w:pPr>
    </w:p>
    <w:sectPr>
      <w:pgSz w:w="11906" w:h="16838"/>
      <w:pgMar w:top="1984" w:right="1587" w:bottom="1701" w:left="1587"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F7CC0D-9F43-4C51-A56B-E35F9A0635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2A10ED8E-720D-445A-937E-AFB9FDE9E459}"/>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3" w:fontKey="{423FE506-9AF4-4CA8-941E-63AC2F53764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37588">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28E4AB">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28E4AB">
                    <w:pPr>
                      <w:pStyle w:val="5"/>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A3435">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AF25F"/>
    <w:multiLevelType w:val="singleLevel"/>
    <w:tmpl w:val="937AF25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xZGQ4ZGYyMjMwYzVlOWIzZGY3ZjZmNzE0Y2RlYzgifQ=="/>
  </w:docVars>
  <w:rsids>
    <w:rsidRoot w:val="00000000"/>
    <w:rsid w:val="00583A0B"/>
    <w:rsid w:val="008B6FA3"/>
    <w:rsid w:val="00BA0362"/>
    <w:rsid w:val="05D40810"/>
    <w:rsid w:val="08656386"/>
    <w:rsid w:val="113360CF"/>
    <w:rsid w:val="13D039BC"/>
    <w:rsid w:val="14F83A32"/>
    <w:rsid w:val="173C05BC"/>
    <w:rsid w:val="1A030BA8"/>
    <w:rsid w:val="1B9A4C98"/>
    <w:rsid w:val="1C6D5FFD"/>
    <w:rsid w:val="1D9A1698"/>
    <w:rsid w:val="22314197"/>
    <w:rsid w:val="261C26E6"/>
    <w:rsid w:val="26FB417C"/>
    <w:rsid w:val="27CB4F27"/>
    <w:rsid w:val="28D7637B"/>
    <w:rsid w:val="299423E0"/>
    <w:rsid w:val="318B3481"/>
    <w:rsid w:val="34A44E40"/>
    <w:rsid w:val="34EB49DB"/>
    <w:rsid w:val="3538012C"/>
    <w:rsid w:val="377E3A94"/>
    <w:rsid w:val="3A0B6596"/>
    <w:rsid w:val="3BB1701F"/>
    <w:rsid w:val="3C8B7826"/>
    <w:rsid w:val="3D4432FA"/>
    <w:rsid w:val="3DA20EAA"/>
    <w:rsid w:val="40F60719"/>
    <w:rsid w:val="4321632E"/>
    <w:rsid w:val="44E9469A"/>
    <w:rsid w:val="45BA084A"/>
    <w:rsid w:val="473A1B20"/>
    <w:rsid w:val="47471C7C"/>
    <w:rsid w:val="47C84317"/>
    <w:rsid w:val="4AA2290B"/>
    <w:rsid w:val="4DA70C69"/>
    <w:rsid w:val="4F580548"/>
    <w:rsid w:val="504B1106"/>
    <w:rsid w:val="5B073304"/>
    <w:rsid w:val="5E803776"/>
    <w:rsid w:val="644E3C97"/>
    <w:rsid w:val="6549111E"/>
    <w:rsid w:val="697B1862"/>
    <w:rsid w:val="72684F0F"/>
    <w:rsid w:val="72AF0253"/>
    <w:rsid w:val="72D8624E"/>
    <w:rsid w:val="738D5B45"/>
    <w:rsid w:val="75D17231"/>
    <w:rsid w:val="77CB5824"/>
    <w:rsid w:val="781E1705"/>
    <w:rsid w:val="78AE2235"/>
    <w:rsid w:val="7BC919B0"/>
    <w:rsid w:val="7C4F1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rPr>
      <w:kern w:val="0"/>
      <w:sz w:val="20"/>
    </w:rPr>
  </w:style>
  <w:style w:type="paragraph" w:styleId="4">
    <w:name w:val="Body Text"/>
    <w:basedOn w:val="1"/>
    <w:semiHidden/>
    <w:qFormat/>
    <w:uiPriority w:val="0"/>
    <w:rPr>
      <w:rFonts w:ascii="仿宋" w:hAnsi="仿宋" w:eastAsia="仿宋" w:cs="仿宋"/>
      <w:sz w:val="31"/>
      <w:szCs w:val="3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微软雅黑" w:hAnsi="微软雅黑" w:eastAsia="微软雅黑" w:cs="微软雅黑"/>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2984</Words>
  <Characters>3164</Characters>
  <Lines>0</Lines>
  <Paragraphs>0</Paragraphs>
  <TotalTime>4</TotalTime>
  <ScaleCrop>false</ScaleCrop>
  <LinksUpToDate>false</LinksUpToDate>
  <CharactersWithSpaces>3232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2024-06-27T08:01:00Z</dcterms:created>
  <dc:creator>Lenovo</dc:creator>
  <cp:lastModifiedBy>李华</cp:lastModifiedBy>
  <cp:lastPrinted>2025-06-16T09:47:00Z</cp:lastPrinted>
  <dcterms:modified xsi:type="dcterms:W3CDTF">2025-06-17T08:22:06Z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DE96C6FC90B3436DB5A113D07817E8A0_13</vt:lpwstr>
  </property>
  <property fmtid="{D5CDD505-2E9C-101B-9397-08002B2CF9AE}" pid="4" name="KSOTemplateDocerSaveRecord">
    <vt:lpwstr>eyJoZGlkIjoiODJhZDJkZGZlYjM3MjdmZWQ0OTUzM2JmYTU0MzVkZjgiLCJ1c2VySWQiOiI3NzE3Njg3NjAifQ==</vt:lpwstr>
  </property>
</Properties>
</file>